
<file path=[Content_Types].xml><?xml version="1.0" encoding="utf-8"?>
<Types xmlns="http://schemas.openxmlformats.org/package/2006/content-types">
  <Default Extension="f3c3ee8111332a0aad0c117a32d25f9_b39dd_20191015201155P040087730647001_HEADERIMAGE"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PHPDOCX"/>
        <w:tblOverlap w:val="never"/>
        <w:tblW w:w="10800" w:type="dxa"/>
        <w:tblLook w:val="04A0" w:firstRow="1" w:lastRow="0" w:firstColumn="1" w:lastColumn="0" w:noHBand="0" w:noVBand="1"/>
      </w:tblPr>
      <w:tblGrid>
        <w:gridCol w:w="10800"/>
      </w:tblGrid>
      <w:tr w:rsidR="00B420F2" w14:paraId="03EDA585" w14:textId="77777777">
        <w:tc>
          <w:tcPr>
            <w:tcW w:w="7200" w:type="dxa"/>
            <w:shd w:val="clear" w:color="auto" w:fill="C4D82D"/>
          </w:tcPr>
          <w:p w14:paraId="09CAAFAB" w14:textId="77777777" w:rsidR="00B420F2" w:rsidRDefault="00C931AE">
            <w:pPr>
              <w:jc w:val="center"/>
              <w:rPr>
                <w:b/>
                <w:bCs/>
                <w:color w:val="000000"/>
                <w:sz w:val="20"/>
                <w:szCs w:val="20"/>
              </w:rPr>
            </w:pPr>
            <w:r>
              <w:rPr>
                <w:b/>
                <w:bCs/>
                <w:color w:val="000000"/>
                <w:sz w:val="20"/>
                <w:szCs w:val="20"/>
              </w:rPr>
              <w:t>Google Llc</w:t>
            </w:r>
          </w:p>
          <w:p w14:paraId="3FC1DF5E" w14:textId="77777777" w:rsidR="00B420F2" w:rsidRDefault="00C931AE">
            <w:pPr>
              <w:jc w:val="center"/>
              <w:rPr>
                <w:b/>
                <w:bCs/>
                <w:color w:val="000000"/>
                <w:sz w:val="20"/>
                <w:szCs w:val="20"/>
              </w:rPr>
            </w:pPr>
            <w:r>
              <w:rPr>
                <w:b/>
                <w:bCs/>
                <w:color w:val="000000"/>
                <w:sz w:val="20"/>
                <w:szCs w:val="20"/>
              </w:rPr>
              <w:t>Google Llc 401(K) Savings Plan</w:t>
            </w:r>
          </w:p>
          <w:p w14:paraId="0BA2E9BD" w14:textId="77777777" w:rsidR="00B420F2" w:rsidRDefault="00C931AE">
            <w:pPr>
              <w:jc w:val="center"/>
              <w:rPr>
                <w:b/>
                <w:bCs/>
                <w:color w:val="000000"/>
                <w:sz w:val="20"/>
                <w:szCs w:val="20"/>
              </w:rPr>
            </w:pPr>
            <w:r>
              <w:rPr>
                <w:b/>
                <w:bCs/>
                <w:color w:val="000000"/>
                <w:sz w:val="20"/>
                <w:szCs w:val="20"/>
              </w:rPr>
              <w:t>Plan Summary</w:t>
            </w:r>
          </w:p>
        </w:tc>
      </w:tr>
    </w:tbl>
    <w:p w14:paraId="4EF39916"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400"/>
        <w:gridCol w:w="5400"/>
      </w:tblGrid>
      <w:tr w:rsidR="00B420F2" w14:paraId="03BB97FF" w14:textId="77777777">
        <w:tc>
          <w:tcPr>
            <w:tcW w:w="5400" w:type="dxa"/>
            <w:tcBorders>
              <w:top w:val="none" w:sz="6" w:space="0" w:color="000000"/>
              <w:left w:val="none" w:sz="6" w:space="0" w:color="000000"/>
              <w:bottom w:val="none" w:sz="6" w:space="0" w:color="000000"/>
              <w:right w:val="none" w:sz="6" w:space="0" w:color="000000"/>
            </w:tcBorders>
          </w:tcPr>
          <w:tbl>
            <w:tblPr>
              <w:tblStyle w:val="TableGridPHPDOCX"/>
              <w:tblOverlap w:val="never"/>
              <w:tblW w:w="5040" w:type="dxa"/>
              <w:tblLayout w:type="fixed"/>
              <w:tblLook w:val="04A0" w:firstRow="1" w:lastRow="0" w:firstColumn="1" w:lastColumn="0" w:noHBand="0" w:noVBand="1"/>
            </w:tblPr>
            <w:tblGrid>
              <w:gridCol w:w="5040"/>
            </w:tblGrid>
            <w:tr w:rsidR="00B420F2" w14:paraId="52026C13" w14:textId="77777777">
              <w:tc>
                <w:tcPr>
                  <w:tcW w:w="5040" w:type="dxa"/>
                  <w:shd w:val="clear" w:color="auto" w:fill="3232FF"/>
                  <w:tcMar>
                    <w:top w:w="60" w:type="dxa"/>
                    <w:left w:w="60" w:type="dxa"/>
                    <w:bottom w:w="60" w:type="dxa"/>
                    <w:right w:w="60" w:type="dxa"/>
                  </w:tcMar>
                </w:tcPr>
                <w:p w14:paraId="7244BC8D" w14:textId="77777777" w:rsidR="00B420F2" w:rsidRDefault="00C931AE">
                  <w:pPr>
                    <w:jc w:val="center"/>
                    <w:rPr>
                      <w:b/>
                      <w:bCs/>
                      <w:color w:val="FFFFFF"/>
                      <w:sz w:val="20"/>
                      <w:szCs w:val="20"/>
                    </w:rPr>
                  </w:pPr>
                  <w:r>
                    <w:rPr>
                      <w:b/>
                      <w:bCs/>
                      <w:color w:val="FFFFFF"/>
                      <w:sz w:val="20"/>
                      <w:szCs w:val="20"/>
                    </w:rPr>
                    <w:t>Plan Overall Operational Score</w:t>
                  </w:r>
                </w:p>
              </w:tc>
            </w:tr>
            <w:tr w:rsidR="00B420F2" w14:paraId="08E85E4C" w14:textId="77777777">
              <w:tc>
                <w:tcPr>
                  <w:tcW w:w="5040" w:type="dxa"/>
                  <w:tcBorders>
                    <w:top w:val="none" w:sz="6" w:space="0" w:color="000000"/>
                    <w:left w:val="none" w:sz="6" w:space="0" w:color="000000"/>
                    <w:bottom w:val="none" w:sz="6" w:space="0" w:color="000000"/>
                    <w:right w:val="none" w:sz="6" w:space="0" w:color="000000"/>
                  </w:tcBorders>
                </w:tcPr>
                <w:p w14:paraId="41F902AC" w14:textId="77777777" w:rsidR="00B420F2" w:rsidRDefault="00C931AE">
                  <w:pPr>
                    <w:jc w:val="center"/>
                  </w:pPr>
                  <w:r>
                    <w:rPr>
                      <w:noProof/>
                    </w:rPr>
                    <w:drawing>
                      <wp:inline distT="0" distB="0" distL="0" distR="0" wp14:anchorId="1113CF73" wp14:editId="400A319D">
                        <wp:extent cx="2743200" cy="1959429"/>
                        <wp:effectExtent l="0" t="0" r="0" b="0"/>
                        <wp:docPr id="699107480" name="Picture 1" descr="/tmp/1f3c3ee8111332a0aad0c117a32d25f9_b39dd_20191015201155P040087730647001_TotalOverallBenchmarkScorePercent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TotalOverallBenchmarkScorePercentile.png"/>
                                <pic:cNvPicPr/>
                              </pic:nvPicPr>
                              <pic:blipFill>
                                <a:blip r:embed="rId8" cstate="print"/>
                                <a:stretch>
                                  <a:fillRect/>
                                </a:stretch>
                              </pic:blipFill>
                              <pic:spPr>
                                <a:xfrm>
                                  <a:off x="0" y="0"/>
                                  <a:ext cx="2743200" cy="1959429"/>
                                </a:xfrm>
                                <a:prstGeom prst="rect">
                                  <a:avLst/>
                                </a:prstGeom>
                              </pic:spPr>
                            </pic:pic>
                          </a:graphicData>
                        </a:graphic>
                      </wp:inline>
                    </w:drawing>
                  </w:r>
                </w:p>
              </w:tc>
            </w:tr>
            <w:tr w:rsidR="00B420F2" w14:paraId="3673AB3F" w14:textId="77777777">
              <w:tc>
                <w:tcPr>
                  <w:tcW w:w="5040" w:type="dxa"/>
                  <w:tcBorders>
                    <w:top w:val="none" w:sz="6" w:space="0" w:color="000000"/>
                    <w:left w:val="none" w:sz="6" w:space="0" w:color="000000"/>
                    <w:bottom w:val="none" w:sz="6" w:space="0" w:color="000000"/>
                    <w:right w:val="none" w:sz="6" w:space="0" w:color="000000"/>
                  </w:tcBorders>
                  <w:tcMar>
                    <w:top w:w="0" w:type="dxa"/>
                    <w:left w:w="0" w:type="dxa"/>
                    <w:bottom w:w="0" w:type="dxa"/>
                    <w:right w:w="0" w:type="dxa"/>
                  </w:tcMar>
                </w:tcPr>
                <w:p w14:paraId="55764CF8" w14:textId="77777777" w:rsidR="00B420F2" w:rsidRDefault="00C931AE">
                  <w:pPr>
                    <w:jc w:val="center"/>
                    <w:rPr>
                      <w:sz w:val="14"/>
                      <w:szCs w:val="14"/>
                    </w:rPr>
                  </w:pPr>
                  <w:r>
                    <w:rPr>
                      <w:sz w:val="14"/>
                      <w:szCs w:val="14"/>
                    </w:rPr>
                    <w:t>Scores Range from 0 to 100 with 100 being a perfect score.</w:t>
                  </w:r>
                </w:p>
              </w:tc>
            </w:tr>
          </w:tbl>
          <w:p w14:paraId="0E7D71F9" w14:textId="77777777" w:rsidR="00B420F2" w:rsidRDefault="00B420F2"/>
          <w:tbl>
            <w:tblPr>
              <w:tblStyle w:val="TableGridPHPDOCX"/>
              <w:tblOverlap w:val="never"/>
              <w:tblW w:w="5040" w:type="dxa"/>
              <w:tblLayout w:type="fixed"/>
              <w:tblLook w:val="04A0" w:firstRow="1" w:lastRow="0" w:firstColumn="1" w:lastColumn="0" w:noHBand="0" w:noVBand="1"/>
            </w:tblPr>
            <w:tblGrid>
              <w:gridCol w:w="2520"/>
              <w:gridCol w:w="2520"/>
            </w:tblGrid>
            <w:tr w:rsidR="00B420F2" w14:paraId="336261E3" w14:textId="77777777">
              <w:tc>
                <w:tcPr>
                  <w:tcW w:w="2520" w:type="dxa"/>
                  <w:gridSpan w:val="2"/>
                  <w:shd w:val="clear" w:color="auto" w:fill="3232FF"/>
                  <w:tcMar>
                    <w:top w:w="60" w:type="dxa"/>
                    <w:left w:w="60" w:type="dxa"/>
                    <w:bottom w:w="60" w:type="dxa"/>
                    <w:right w:w="60" w:type="dxa"/>
                  </w:tcMar>
                </w:tcPr>
                <w:p w14:paraId="7D8A0803" w14:textId="77777777" w:rsidR="00B420F2" w:rsidRDefault="00C931AE">
                  <w:pPr>
                    <w:jc w:val="center"/>
                    <w:rPr>
                      <w:b/>
                      <w:bCs/>
                      <w:color w:val="FFFFFF"/>
                      <w:sz w:val="20"/>
                      <w:szCs w:val="20"/>
                    </w:rPr>
                  </w:pPr>
                  <w:r>
                    <w:rPr>
                      <w:b/>
                      <w:bCs/>
                      <w:color w:val="FFFFFF"/>
                      <w:sz w:val="20"/>
                      <w:szCs w:val="20"/>
                    </w:rPr>
                    <w:t>Benchmark Peer Group</w:t>
                  </w:r>
                </w:p>
              </w:tc>
            </w:tr>
            <w:tr w:rsidR="00B420F2" w14:paraId="01BE97CE"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6052129C" w14:textId="77777777" w:rsidR="00B420F2" w:rsidRDefault="00C931AE">
                  <w:pPr>
                    <w:rPr>
                      <w:sz w:val="16"/>
                      <w:szCs w:val="16"/>
                    </w:rPr>
                  </w:pPr>
                  <w:r>
                    <w:rPr>
                      <w:sz w:val="16"/>
                      <w:szCs w:val="16"/>
                    </w:rPr>
                    <w:t>Peer Group Business Category</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7A0E002" w14:textId="77777777" w:rsidR="00B420F2" w:rsidRDefault="00C931AE">
                  <w:pPr>
                    <w:rPr>
                      <w:sz w:val="16"/>
                      <w:szCs w:val="16"/>
                    </w:rPr>
                  </w:pPr>
                  <w:r>
                    <w:rPr>
                      <w:sz w:val="16"/>
                      <w:szCs w:val="16"/>
                    </w:rPr>
                    <w:t>Information and Publishing</w:t>
                  </w:r>
                </w:p>
              </w:tc>
            </w:tr>
            <w:tr w:rsidR="00B420F2" w14:paraId="641A4A0F"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7D25C9B" w14:textId="77777777" w:rsidR="00B420F2" w:rsidRDefault="00C931AE">
                  <w:pPr>
                    <w:rPr>
                      <w:sz w:val="16"/>
                      <w:szCs w:val="16"/>
                    </w:rPr>
                  </w:pPr>
                  <w:r>
                    <w:rPr>
                      <w:sz w:val="16"/>
                      <w:szCs w:val="16"/>
                    </w:rPr>
                    <w:t>Peer Group Size</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C376494" w14:textId="77777777" w:rsidR="00B420F2" w:rsidRDefault="00C931AE">
                  <w:pPr>
                    <w:rPr>
                      <w:sz w:val="16"/>
                      <w:szCs w:val="16"/>
                    </w:rPr>
                  </w:pPr>
                  <w:r>
                    <w:rPr>
                      <w:sz w:val="16"/>
                      <w:szCs w:val="16"/>
                    </w:rPr>
                    <w:t>Over 5,000 Participants</w:t>
                  </w:r>
                </w:p>
              </w:tc>
            </w:tr>
            <w:tr w:rsidR="00B420F2" w14:paraId="60A28153"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5F981D44" w14:textId="77777777" w:rsidR="00B420F2" w:rsidRDefault="00C931AE">
                  <w:pPr>
                    <w:rPr>
                      <w:sz w:val="16"/>
                      <w:szCs w:val="16"/>
                    </w:rPr>
                  </w:pPr>
                  <w:r>
                    <w:rPr>
                      <w:sz w:val="16"/>
                      <w:szCs w:val="16"/>
                    </w:rPr>
                    <w:t>Plans in Peer Group</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69A7ACF1" w14:textId="77777777" w:rsidR="00B420F2" w:rsidRDefault="00C931AE">
                  <w:pPr>
                    <w:rPr>
                      <w:sz w:val="16"/>
                      <w:szCs w:val="16"/>
                    </w:rPr>
                  </w:pPr>
                  <w:r>
                    <w:rPr>
                      <w:sz w:val="16"/>
                      <w:szCs w:val="16"/>
                    </w:rPr>
                    <w:t>69</w:t>
                  </w:r>
                </w:p>
              </w:tc>
            </w:tr>
          </w:tbl>
          <w:p w14:paraId="55483CF2" w14:textId="77777777" w:rsidR="00B420F2" w:rsidRDefault="00B420F2"/>
        </w:tc>
        <w:tc>
          <w:tcPr>
            <w:tcW w:w="5400" w:type="dxa"/>
            <w:tcBorders>
              <w:top w:val="none" w:sz="6" w:space="0" w:color="000000"/>
              <w:left w:val="none" w:sz="6" w:space="0" w:color="000000"/>
              <w:bottom w:val="none" w:sz="6" w:space="0" w:color="000000"/>
              <w:right w:val="none" w:sz="6" w:space="0" w:color="000000"/>
            </w:tcBorders>
          </w:tcPr>
          <w:tbl>
            <w:tblPr>
              <w:tblStyle w:val="TableGridPHPDOCX"/>
              <w:tblOverlap w:val="never"/>
              <w:tblW w:w="5000" w:type="pct"/>
              <w:tblLayout w:type="fixed"/>
              <w:tblLook w:val="04A0" w:firstRow="1" w:lastRow="0" w:firstColumn="1" w:lastColumn="0" w:noHBand="0" w:noVBand="1"/>
            </w:tblPr>
            <w:tblGrid>
              <w:gridCol w:w="2587"/>
              <w:gridCol w:w="2587"/>
            </w:tblGrid>
            <w:tr w:rsidR="00B420F2" w14:paraId="545DE244" w14:textId="77777777">
              <w:tc>
                <w:tcPr>
                  <w:tcW w:w="2520" w:type="dxa"/>
                  <w:gridSpan w:val="2"/>
                  <w:shd w:val="clear" w:color="auto" w:fill="3232FF"/>
                  <w:tcMar>
                    <w:top w:w="60" w:type="dxa"/>
                    <w:left w:w="60" w:type="dxa"/>
                    <w:bottom w:w="60" w:type="dxa"/>
                    <w:right w:w="60" w:type="dxa"/>
                  </w:tcMar>
                </w:tcPr>
                <w:p w14:paraId="4F56EA0D" w14:textId="77777777" w:rsidR="00B420F2" w:rsidRDefault="00C931AE">
                  <w:pPr>
                    <w:jc w:val="center"/>
                    <w:rPr>
                      <w:b/>
                      <w:bCs/>
                      <w:color w:val="FFFFFF"/>
                      <w:sz w:val="20"/>
                      <w:szCs w:val="20"/>
                    </w:rPr>
                  </w:pPr>
                  <w:r>
                    <w:rPr>
                      <w:b/>
                      <w:bCs/>
                      <w:color w:val="FFFFFF"/>
                      <w:sz w:val="20"/>
                      <w:szCs w:val="20"/>
                    </w:rPr>
                    <w:t>Plan Sponsor Information</w:t>
                  </w:r>
                </w:p>
              </w:tc>
            </w:tr>
            <w:tr w:rsidR="00B420F2" w14:paraId="297929BE"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0BE39F9" w14:textId="77777777" w:rsidR="00B420F2" w:rsidRDefault="00C931AE">
                  <w:pPr>
                    <w:rPr>
                      <w:sz w:val="16"/>
                      <w:szCs w:val="16"/>
                    </w:rPr>
                  </w:pPr>
                  <w:r>
                    <w:rPr>
                      <w:sz w:val="16"/>
                      <w:szCs w:val="16"/>
                    </w:rPr>
                    <w:t>Sponsor Name</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CC2D52F" w14:textId="77777777" w:rsidR="00B420F2" w:rsidRDefault="00C931AE">
                  <w:pPr>
                    <w:rPr>
                      <w:sz w:val="16"/>
                      <w:szCs w:val="16"/>
                    </w:rPr>
                  </w:pPr>
                  <w:r>
                    <w:rPr>
                      <w:sz w:val="16"/>
                      <w:szCs w:val="16"/>
                    </w:rPr>
                    <w:t>Google Llc</w:t>
                  </w:r>
                </w:p>
              </w:tc>
            </w:tr>
            <w:tr w:rsidR="00B420F2" w14:paraId="23F29CEF"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843244F" w14:textId="77777777" w:rsidR="00B420F2" w:rsidRDefault="00C931AE">
                  <w:pPr>
                    <w:rPr>
                      <w:sz w:val="16"/>
                      <w:szCs w:val="16"/>
                    </w:rPr>
                  </w:pPr>
                  <w:r>
                    <w:rPr>
                      <w:sz w:val="16"/>
                      <w:szCs w:val="16"/>
                    </w:rPr>
                    <w:t>Sponsor Contacts</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2D4ACB6" w14:textId="77777777" w:rsidR="00B420F2" w:rsidRDefault="00C931AE">
                  <w:pPr>
                    <w:rPr>
                      <w:sz w:val="16"/>
                      <w:szCs w:val="16"/>
                    </w:rPr>
                  </w:pPr>
                  <w:r>
                    <w:rPr>
                      <w:sz w:val="16"/>
                      <w:szCs w:val="16"/>
                    </w:rPr>
                    <w:t>Daniel Marafino</w:t>
                  </w:r>
                </w:p>
              </w:tc>
            </w:tr>
            <w:tr w:rsidR="00B420F2" w14:paraId="4590C205"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D7B35FF" w14:textId="77777777" w:rsidR="00B420F2" w:rsidRDefault="00C931AE">
                  <w:pPr>
                    <w:rPr>
                      <w:sz w:val="16"/>
                      <w:szCs w:val="16"/>
                    </w:rPr>
                  </w:pPr>
                  <w:r>
                    <w:rPr>
                      <w:sz w:val="16"/>
                      <w:szCs w:val="16"/>
                    </w:rPr>
                    <w:t>Sponsor EIN</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6AD341D0" w14:textId="77777777" w:rsidR="00B420F2" w:rsidRDefault="00C931AE">
                  <w:pPr>
                    <w:rPr>
                      <w:sz w:val="16"/>
                      <w:szCs w:val="16"/>
                    </w:rPr>
                  </w:pPr>
                  <w:r>
                    <w:rPr>
                      <w:sz w:val="16"/>
                      <w:szCs w:val="16"/>
                    </w:rPr>
                    <w:t>77-0493581</w:t>
                  </w:r>
                </w:p>
              </w:tc>
            </w:tr>
            <w:tr w:rsidR="00B420F2" w14:paraId="3DD87F12"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5D702496" w14:textId="77777777" w:rsidR="00B420F2" w:rsidRDefault="00C931AE">
                  <w:pPr>
                    <w:rPr>
                      <w:sz w:val="16"/>
                      <w:szCs w:val="16"/>
                    </w:rPr>
                  </w:pPr>
                  <w:r>
                    <w:rPr>
                      <w:sz w:val="16"/>
                      <w:szCs w:val="16"/>
                    </w:rPr>
                    <w:t>Sponsor Address</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238887A" w14:textId="77777777" w:rsidR="00B420F2" w:rsidRDefault="00C931AE">
                  <w:pPr>
                    <w:rPr>
                      <w:sz w:val="16"/>
                      <w:szCs w:val="16"/>
                    </w:rPr>
                  </w:pPr>
                  <w:r>
                    <w:rPr>
                      <w:sz w:val="16"/>
                      <w:szCs w:val="16"/>
                    </w:rPr>
                    <w:t>1600 Amphitheatre Parkway</w:t>
                  </w:r>
                </w:p>
              </w:tc>
            </w:tr>
            <w:tr w:rsidR="00B420F2" w14:paraId="1B049865"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58FABB5" w14:textId="77777777" w:rsidR="00B420F2" w:rsidRDefault="00C931AE">
                  <w:pPr>
                    <w:rPr>
                      <w:sz w:val="16"/>
                      <w:szCs w:val="16"/>
                    </w:rPr>
                  </w:pPr>
                  <w:r>
                    <w:rPr>
                      <w:sz w:val="16"/>
                      <w:szCs w:val="16"/>
                    </w:rPr>
                    <w:t>Sponsor City</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63BB143F" w14:textId="77777777" w:rsidR="00B420F2" w:rsidRDefault="00C931AE">
                  <w:pPr>
                    <w:rPr>
                      <w:sz w:val="16"/>
                      <w:szCs w:val="16"/>
                    </w:rPr>
                  </w:pPr>
                  <w:r>
                    <w:rPr>
                      <w:sz w:val="16"/>
                      <w:szCs w:val="16"/>
                    </w:rPr>
                    <w:t>Mountain View</w:t>
                  </w:r>
                </w:p>
              </w:tc>
            </w:tr>
            <w:tr w:rsidR="00B420F2" w14:paraId="7187BF63"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1A571690" w14:textId="77777777" w:rsidR="00B420F2" w:rsidRDefault="00C931AE">
                  <w:pPr>
                    <w:rPr>
                      <w:sz w:val="16"/>
                      <w:szCs w:val="16"/>
                    </w:rPr>
                  </w:pPr>
                  <w:r>
                    <w:rPr>
                      <w:sz w:val="16"/>
                      <w:szCs w:val="16"/>
                    </w:rPr>
                    <w:t>Sponsor State</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1A094AD0" w14:textId="77777777" w:rsidR="00B420F2" w:rsidRDefault="00C931AE">
                  <w:pPr>
                    <w:rPr>
                      <w:sz w:val="16"/>
                      <w:szCs w:val="16"/>
                    </w:rPr>
                  </w:pPr>
                  <w:r>
                    <w:rPr>
                      <w:sz w:val="16"/>
                      <w:szCs w:val="16"/>
                    </w:rPr>
                    <w:t>CA</w:t>
                  </w:r>
                </w:p>
              </w:tc>
            </w:tr>
            <w:tr w:rsidR="00B420F2" w14:paraId="6752EC68"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7FC63125" w14:textId="77777777" w:rsidR="00B420F2" w:rsidRDefault="00C931AE">
                  <w:pPr>
                    <w:rPr>
                      <w:sz w:val="16"/>
                      <w:szCs w:val="16"/>
                    </w:rPr>
                  </w:pPr>
                  <w:r>
                    <w:rPr>
                      <w:sz w:val="16"/>
                      <w:szCs w:val="16"/>
                    </w:rPr>
                    <w:t>Sponsor Zip</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71586621" w14:textId="77777777" w:rsidR="00B420F2" w:rsidRDefault="00C931AE">
                  <w:pPr>
                    <w:rPr>
                      <w:sz w:val="16"/>
                      <w:szCs w:val="16"/>
                    </w:rPr>
                  </w:pPr>
                  <w:r>
                    <w:rPr>
                      <w:sz w:val="16"/>
                      <w:szCs w:val="16"/>
                    </w:rPr>
                    <w:t>94043-1351</w:t>
                  </w:r>
                </w:p>
              </w:tc>
            </w:tr>
            <w:tr w:rsidR="00B420F2" w14:paraId="2EE93912"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73444BB0" w14:textId="77777777" w:rsidR="00B420F2" w:rsidRDefault="00C931AE">
                  <w:pPr>
                    <w:rPr>
                      <w:sz w:val="16"/>
                      <w:szCs w:val="16"/>
                    </w:rPr>
                  </w:pPr>
                  <w:r>
                    <w:rPr>
                      <w:sz w:val="16"/>
                      <w:szCs w:val="16"/>
                    </w:rPr>
                    <w:t>Sponsor Phone</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1E188D16" w14:textId="77777777" w:rsidR="00B420F2" w:rsidRDefault="00C931AE">
                  <w:pPr>
                    <w:rPr>
                      <w:sz w:val="16"/>
                      <w:szCs w:val="16"/>
                    </w:rPr>
                  </w:pPr>
                  <w:r>
                    <w:rPr>
                      <w:sz w:val="16"/>
                      <w:szCs w:val="16"/>
                    </w:rPr>
                    <w:t>650-623-4000</w:t>
                  </w:r>
                </w:p>
              </w:tc>
            </w:tr>
            <w:tr w:rsidR="00B420F2" w14:paraId="3A239791"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43F243B" w14:textId="77777777" w:rsidR="00B420F2" w:rsidRDefault="00C931AE">
                  <w:pPr>
                    <w:rPr>
                      <w:sz w:val="16"/>
                      <w:szCs w:val="16"/>
                    </w:rPr>
                  </w:pPr>
                  <w:r>
                    <w:rPr>
                      <w:sz w:val="16"/>
                      <w:szCs w:val="16"/>
                    </w:rPr>
                    <w:t>Sponsor Type</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55DCA38" w14:textId="77777777" w:rsidR="00B420F2" w:rsidRDefault="00C931AE">
                  <w:pPr>
                    <w:rPr>
                      <w:sz w:val="16"/>
                      <w:szCs w:val="16"/>
                    </w:rPr>
                  </w:pPr>
                  <w:r>
                    <w:rPr>
                      <w:sz w:val="16"/>
                      <w:szCs w:val="16"/>
                    </w:rPr>
                    <w:t>Single</w:t>
                  </w:r>
                </w:p>
              </w:tc>
            </w:tr>
            <w:tr w:rsidR="00B420F2" w14:paraId="0D790D35"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27A6B9F" w14:textId="77777777" w:rsidR="00B420F2" w:rsidRDefault="00C931AE">
                  <w:pPr>
                    <w:rPr>
                      <w:sz w:val="16"/>
                      <w:szCs w:val="16"/>
                    </w:rPr>
                  </w:pPr>
                  <w:r>
                    <w:rPr>
                      <w:sz w:val="16"/>
                      <w:szCs w:val="16"/>
                    </w:rPr>
                    <w:t>Plan Business Code</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D7F735A" w14:textId="77777777" w:rsidR="00B420F2" w:rsidRDefault="00C931AE">
                  <w:pPr>
                    <w:rPr>
                      <w:sz w:val="16"/>
                      <w:szCs w:val="16"/>
                    </w:rPr>
                  </w:pPr>
                  <w:r>
                    <w:rPr>
                      <w:sz w:val="16"/>
                      <w:szCs w:val="16"/>
                    </w:rPr>
                    <w:t>519100*</w:t>
                  </w:r>
                </w:p>
              </w:tc>
            </w:tr>
            <w:tr w:rsidR="00B420F2" w14:paraId="266E2E93" w14:textId="77777777">
              <w:tc>
                <w:tcPr>
                  <w:tcW w:w="5040" w:type="dxa"/>
                  <w:gridSpan w:val="2"/>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77FC55A2" w14:textId="77777777" w:rsidR="00B420F2" w:rsidRDefault="00C931AE">
                  <w:pPr>
                    <w:rPr>
                      <w:sz w:val="16"/>
                      <w:szCs w:val="16"/>
                    </w:rPr>
                  </w:pPr>
                  <w:r>
                    <w:rPr>
                      <w:sz w:val="16"/>
                      <w:szCs w:val="16"/>
                    </w:rPr>
                    <w:t xml:space="preserve">*Other Information Services (including news syndicates, libraries, internet publishing &amp; broadcasting) </w:t>
                  </w:r>
                </w:p>
              </w:tc>
            </w:tr>
          </w:tbl>
          <w:p w14:paraId="6BFD87A7" w14:textId="77777777" w:rsidR="00B420F2" w:rsidRDefault="00B420F2"/>
          <w:tbl>
            <w:tblPr>
              <w:tblStyle w:val="TableGridPHPDOCX"/>
              <w:tblOverlap w:val="never"/>
              <w:tblW w:w="5040" w:type="dxa"/>
              <w:tblLayout w:type="fixed"/>
              <w:tblLook w:val="04A0" w:firstRow="1" w:lastRow="0" w:firstColumn="1" w:lastColumn="0" w:noHBand="0" w:noVBand="1"/>
            </w:tblPr>
            <w:tblGrid>
              <w:gridCol w:w="2520"/>
              <w:gridCol w:w="2520"/>
            </w:tblGrid>
            <w:tr w:rsidR="00B420F2" w14:paraId="4CA50972" w14:textId="77777777">
              <w:tc>
                <w:tcPr>
                  <w:tcW w:w="2520" w:type="dxa"/>
                  <w:gridSpan w:val="2"/>
                  <w:shd w:val="clear" w:color="auto" w:fill="3232FF"/>
                  <w:tcMar>
                    <w:top w:w="60" w:type="dxa"/>
                    <w:left w:w="60" w:type="dxa"/>
                    <w:bottom w:w="60" w:type="dxa"/>
                    <w:right w:w="60" w:type="dxa"/>
                  </w:tcMar>
                </w:tcPr>
                <w:p w14:paraId="784A1218" w14:textId="77777777" w:rsidR="00B420F2" w:rsidRDefault="00C931AE">
                  <w:pPr>
                    <w:jc w:val="center"/>
                    <w:rPr>
                      <w:b/>
                      <w:bCs/>
                      <w:color w:val="FFFFFF"/>
                      <w:sz w:val="20"/>
                      <w:szCs w:val="20"/>
                    </w:rPr>
                  </w:pPr>
                  <w:r>
                    <w:rPr>
                      <w:b/>
                      <w:bCs/>
                      <w:color w:val="FFFFFF"/>
                      <w:sz w:val="20"/>
                      <w:szCs w:val="20"/>
                    </w:rPr>
                    <w:t>General Plan Information</w:t>
                  </w:r>
                </w:p>
              </w:tc>
            </w:tr>
            <w:tr w:rsidR="00B420F2" w14:paraId="3E1F2F4F"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72683573" w14:textId="77777777" w:rsidR="00B420F2" w:rsidRDefault="00C931AE">
                  <w:pPr>
                    <w:rPr>
                      <w:sz w:val="16"/>
                      <w:szCs w:val="16"/>
                    </w:rPr>
                  </w:pPr>
                  <w:r>
                    <w:rPr>
                      <w:sz w:val="16"/>
                      <w:szCs w:val="16"/>
                    </w:rPr>
                    <w:t>Plan Number</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2D77138" w14:textId="77777777" w:rsidR="00B420F2" w:rsidRDefault="00C931AE">
                  <w:pPr>
                    <w:rPr>
                      <w:sz w:val="16"/>
                      <w:szCs w:val="16"/>
                    </w:rPr>
                  </w:pPr>
                  <w:r>
                    <w:rPr>
                      <w:sz w:val="16"/>
                      <w:szCs w:val="16"/>
                    </w:rPr>
                    <w:t>001</w:t>
                  </w:r>
                </w:p>
              </w:tc>
            </w:tr>
            <w:tr w:rsidR="00B420F2" w14:paraId="605EE016"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D66CBDB" w14:textId="77777777" w:rsidR="00B420F2" w:rsidRDefault="00C931AE">
                  <w:pPr>
                    <w:rPr>
                      <w:sz w:val="16"/>
                      <w:szCs w:val="16"/>
                    </w:rPr>
                  </w:pPr>
                  <w:r>
                    <w:rPr>
                      <w:sz w:val="16"/>
                      <w:szCs w:val="16"/>
                    </w:rPr>
                    <w:t>Plan Effective Date</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7BA76872" w14:textId="77777777" w:rsidR="00B420F2" w:rsidRDefault="00C931AE">
                  <w:pPr>
                    <w:rPr>
                      <w:sz w:val="16"/>
                      <w:szCs w:val="16"/>
                    </w:rPr>
                  </w:pPr>
                  <w:r>
                    <w:rPr>
                      <w:sz w:val="16"/>
                      <w:szCs w:val="16"/>
                    </w:rPr>
                    <w:t>1999-01-01</w:t>
                  </w:r>
                </w:p>
              </w:tc>
            </w:tr>
            <w:tr w:rsidR="00B420F2" w14:paraId="533B5660"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2C7A3CE" w14:textId="77777777" w:rsidR="00B420F2" w:rsidRDefault="00C931AE">
                  <w:pPr>
                    <w:rPr>
                      <w:sz w:val="16"/>
                      <w:szCs w:val="16"/>
                    </w:rPr>
                  </w:pPr>
                  <w:r>
                    <w:rPr>
                      <w:sz w:val="16"/>
                      <w:szCs w:val="16"/>
                    </w:rPr>
                    <w:t>Plan Year</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FE3DA52" w14:textId="77777777" w:rsidR="00B420F2" w:rsidRDefault="00C931AE">
                  <w:pPr>
                    <w:rPr>
                      <w:sz w:val="16"/>
                      <w:szCs w:val="16"/>
                    </w:rPr>
                  </w:pPr>
                  <w:r>
                    <w:rPr>
                      <w:sz w:val="16"/>
                      <w:szCs w:val="16"/>
                    </w:rPr>
                    <w:t>2018-01-01 to 2018-12-31</w:t>
                  </w:r>
                </w:p>
              </w:tc>
            </w:tr>
            <w:tr w:rsidR="00B420F2" w14:paraId="11E9D1C7"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66D91DE" w14:textId="77777777" w:rsidR="00B420F2" w:rsidRDefault="00C931AE">
                  <w:pPr>
                    <w:rPr>
                      <w:sz w:val="16"/>
                      <w:szCs w:val="16"/>
                    </w:rPr>
                  </w:pPr>
                  <w:r>
                    <w:rPr>
                      <w:sz w:val="16"/>
                      <w:szCs w:val="16"/>
                    </w:rPr>
                    <w:t>Plan Type</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5481C831" w14:textId="77777777" w:rsidR="00B420F2" w:rsidRDefault="00C931AE">
                  <w:pPr>
                    <w:rPr>
                      <w:sz w:val="16"/>
                      <w:szCs w:val="16"/>
                    </w:rPr>
                  </w:pPr>
                  <w:r>
                    <w:rPr>
                      <w:sz w:val="16"/>
                      <w:szCs w:val="16"/>
                    </w:rPr>
                    <w:t>DC</w:t>
                  </w:r>
                </w:p>
              </w:tc>
            </w:tr>
            <w:tr w:rsidR="00B420F2" w14:paraId="19A5B684"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522167D4" w14:textId="77777777" w:rsidR="00B420F2" w:rsidRDefault="00C931AE">
                  <w:pPr>
                    <w:rPr>
                      <w:sz w:val="16"/>
                      <w:szCs w:val="16"/>
                    </w:rPr>
                  </w:pPr>
                  <w:r>
                    <w:rPr>
                      <w:sz w:val="16"/>
                      <w:szCs w:val="16"/>
                    </w:rPr>
                    <w:t>Plan Sub Type</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6699141E" w14:textId="77777777" w:rsidR="00B420F2" w:rsidRDefault="00C931AE">
                  <w:pPr>
                    <w:rPr>
                      <w:sz w:val="16"/>
                      <w:szCs w:val="16"/>
                    </w:rPr>
                  </w:pPr>
                  <w:r>
                    <w:rPr>
                      <w:sz w:val="16"/>
                      <w:szCs w:val="16"/>
                    </w:rPr>
                    <w:t>Profit Sharing</w:t>
                  </w:r>
                </w:p>
              </w:tc>
            </w:tr>
            <w:tr w:rsidR="00B420F2" w14:paraId="332FB90B"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557A3D9" w14:textId="77777777" w:rsidR="00B420F2" w:rsidRDefault="00C931AE">
                  <w:pPr>
                    <w:rPr>
                      <w:sz w:val="16"/>
                      <w:szCs w:val="16"/>
                    </w:rPr>
                  </w:pPr>
                  <w:r>
                    <w:rPr>
                      <w:sz w:val="16"/>
                      <w:szCs w:val="16"/>
                    </w:rPr>
                    <w:t>Total Participants</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E3570A9" w14:textId="77777777" w:rsidR="00B420F2" w:rsidRDefault="00C931AE">
                  <w:pPr>
                    <w:rPr>
                      <w:sz w:val="16"/>
                      <w:szCs w:val="16"/>
                    </w:rPr>
                  </w:pPr>
                  <w:r>
                    <w:rPr>
                      <w:sz w:val="16"/>
                      <w:szCs w:val="16"/>
                    </w:rPr>
                    <w:t>83,353</w:t>
                  </w:r>
                </w:p>
              </w:tc>
            </w:tr>
            <w:tr w:rsidR="00B420F2" w14:paraId="2A6C1BD6"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8DAB6EF" w14:textId="77777777" w:rsidR="00B420F2" w:rsidRDefault="00C931AE">
                  <w:pPr>
                    <w:rPr>
                      <w:sz w:val="16"/>
                      <w:szCs w:val="16"/>
                    </w:rPr>
                  </w:pPr>
                  <w:r>
                    <w:rPr>
                      <w:sz w:val="16"/>
                      <w:szCs w:val="16"/>
                    </w:rPr>
                    <w:t>Active Participants</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9A8C3CC" w14:textId="77777777" w:rsidR="00B420F2" w:rsidRDefault="00C931AE">
                  <w:pPr>
                    <w:rPr>
                      <w:sz w:val="16"/>
                      <w:szCs w:val="16"/>
                    </w:rPr>
                  </w:pPr>
                  <w:r>
                    <w:rPr>
                      <w:sz w:val="16"/>
                      <w:szCs w:val="16"/>
                    </w:rPr>
                    <w:t>70,036</w:t>
                  </w:r>
                </w:p>
              </w:tc>
            </w:tr>
            <w:tr w:rsidR="00B420F2" w14:paraId="1745D881"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1074B976" w14:textId="77777777" w:rsidR="00B420F2" w:rsidRDefault="00C931AE">
                  <w:pPr>
                    <w:rPr>
                      <w:sz w:val="16"/>
                      <w:szCs w:val="16"/>
                    </w:rPr>
                  </w:pPr>
                  <w:r>
                    <w:rPr>
                      <w:sz w:val="16"/>
                      <w:szCs w:val="16"/>
                    </w:rPr>
                    <w:t>Total Assets</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68FB99BD" w14:textId="77777777" w:rsidR="00B420F2" w:rsidRDefault="00C931AE">
                  <w:pPr>
                    <w:rPr>
                      <w:sz w:val="16"/>
                      <w:szCs w:val="16"/>
                    </w:rPr>
                  </w:pPr>
                  <w:r>
                    <w:rPr>
                      <w:sz w:val="16"/>
                      <w:szCs w:val="16"/>
                    </w:rPr>
                    <w:t>11,786,824,293</w:t>
                  </w:r>
                </w:p>
              </w:tc>
            </w:tr>
          </w:tbl>
          <w:p w14:paraId="6D8F9577" w14:textId="77777777" w:rsidR="00B420F2" w:rsidRDefault="00B420F2"/>
          <w:tbl>
            <w:tblPr>
              <w:tblStyle w:val="TableGridPHPDOCX"/>
              <w:tblOverlap w:val="never"/>
              <w:tblW w:w="5040" w:type="dxa"/>
              <w:tblLayout w:type="fixed"/>
              <w:tblLook w:val="04A0" w:firstRow="1" w:lastRow="0" w:firstColumn="1" w:lastColumn="0" w:noHBand="0" w:noVBand="1"/>
            </w:tblPr>
            <w:tblGrid>
              <w:gridCol w:w="2880"/>
              <w:gridCol w:w="2160"/>
            </w:tblGrid>
            <w:tr w:rsidR="00B420F2" w14:paraId="3ABA315A" w14:textId="77777777">
              <w:tc>
                <w:tcPr>
                  <w:tcW w:w="2880" w:type="dxa"/>
                  <w:gridSpan w:val="2"/>
                  <w:shd w:val="clear" w:color="auto" w:fill="3232FF"/>
                  <w:tcMar>
                    <w:top w:w="60" w:type="dxa"/>
                    <w:left w:w="60" w:type="dxa"/>
                    <w:bottom w:w="60" w:type="dxa"/>
                    <w:right w:w="60" w:type="dxa"/>
                  </w:tcMar>
                </w:tcPr>
                <w:p w14:paraId="3865F6CF" w14:textId="77777777" w:rsidR="00B420F2" w:rsidRDefault="00C931AE">
                  <w:pPr>
                    <w:jc w:val="center"/>
                    <w:rPr>
                      <w:b/>
                      <w:bCs/>
                      <w:color w:val="FFFFFF"/>
                      <w:sz w:val="20"/>
                      <w:szCs w:val="20"/>
                    </w:rPr>
                  </w:pPr>
                  <w:r>
                    <w:rPr>
                      <w:b/>
                      <w:bCs/>
                      <w:color w:val="FFFFFF"/>
                      <w:sz w:val="20"/>
                      <w:szCs w:val="20"/>
                    </w:rPr>
                    <w:t>Detail Plan Information</w:t>
                  </w:r>
                </w:p>
              </w:tc>
            </w:tr>
            <w:tr w:rsidR="00B420F2" w14:paraId="403D5D2A" w14:textId="77777777">
              <w:tc>
                <w:tcPr>
                  <w:tcW w:w="288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14040E7C" w14:textId="77777777" w:rsidR="00B420F2" w:rsidRDefault="00C931AE">
                  <w:pPr>
                    <w:rPr>
                      <w:sz w:val="16"/>
                      <w:szCs w:val="16"/>
                    </w:rPr>
                  </w:pPr>
                  <w:r>
                    <w:rPr>
                      <w:sz w:val="16"/>
                      <w:szCs w:val="16"/>
                    </w:rPr>
                    <w:t>401(k) Plan</w:t>
                  </w:r>
                </w:p>
              </w:tc>
              <w:tc>
                <w:tcPr>
                  <w:tcW w:w="216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7AAC54C7" w14:textId="77777777" w:rsidR="00B420F2" w:rsidRDefault="00C931AE">
                  <w:pPr>
                    <w:rPr>
                      <w:sz w:val="16"/>
                      <w:szCs w:val="16"/>
                    </w:rPr>
                  </w:pPr>
                  <w:r>
                    <w:rPr>
                      <w:sz w:val="16"/>
                      <w:szCs w:val="16"/>
                    </w:rPr>
                    <w:t>Yes</w:t>
                  </w:r>
                </w:p>
              </w:tc>
            </w:tr>
            <w:tr w:rsidR="00B420F2" w14:paraId="67280620" w14:textId="77777777">
              <w:tc>
                <w:tcPr>
                  <w:tcW w:w="288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D2BEC4D" w14:textId="77777777" w:rsidR="00B420F2" w:rsidRDefault="00C931AE">
                  <w:pPr>
                    <w:rPr>
                      <w:sz w:val="16"/>
                      <w:szCs w:val="16"/>
                    </w:rPr>
                  </w:pPr>
                  <w:r>
                    <w:rPr>
                      <w:sz w:val="16"/>
                      <w:szCs w:val="16"/>
                    </w:rPr>
                    <w:t>Matching Contributions</w:t>
                  </w:r>
                </w:p>
              </w:tc>
              <w:tc>
                <w:tcPr>
                  <w:tcW w:w="216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691509DB" w14:textId="77777777" w:rsidR="00B420F2" w:rsidRDefault="00C931AE">
                  <w:pPr>
                    <w:rPr>
                      <w:sz w:val="16"/>
                      <w:szCs w:val="16"/>
                    </w:rPr>
                  </w:pPr>
                  <w:r>
                    <w:rPr>
                      <w:sz w:val="16"/>
                      <w:szCs w:val="16"/>
                    </w:rPr>
                    <w:t>Yes</w:t>
                  </w:r>
                </w:p>
              </w:tc>
            </w:tr>
            <w:tr w:rsidR="00B420F2" w14:paraId="36497865" w14:textId="77777777">
              <w:tc>
                <w:tcPr>
                  <w:tcW w:w="288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57FE53A" w14:textId="77777777" w:rsidR="00B420F2" w:rsidRDefault="00C931AE">
                  <w:pPr>
                    <w:rPr>
                      <w:sz w:val="16"/>
                      <w:szCs w:val="16"/>
                    </w:rPr>
                  </w:pPr>
                  <w:r>
                    <w:rPr>
                      <w:sz w:val="16"/>
                      <w:szCs w:val="16"/>
                    </w:rPr>
                    <w:t>Cross Tested Plan</w:t>
                  </w:r>
                </w:p>
              </w:tc>
              <w:tc>
                <w:tcPr>
                  <w:tcW w:w="216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16898F41" w14:textId="77777777" w:rsidR="00B420F2" w:rsidRDefault="00C931AE">
                  <w:pPr>
                    <w:rPr>
                      <w:sz w:val="16"/>
                      <w:szCs w:val="16"/>
                    </w:rPr>
                  </w:pPr>
                  <w:r>
                    <w:rPr>
                      <w:sz w:val="16"/>
                      <w:szCs w:val="16"/>
                    </w:rPr>
                    <w:t>No</w:t>
                  </w:r>
                </w:p>
              </w:tc>
            </w:tr>
            <w:tr w:rsidR="00B420F2" w14:paraId="4C8C0F00" w14:textId="77777777">
              <w:tc>
                <w:tcPr>
                  <w:tcW w:w="288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B9C94FB" w14:textId="77777777" w:rsidR="00B420F2" w:rsidRDefault="00C931AE">
                  <w:pPr>
                    <w:rPr>
                      <w:sz w:val="16"/>
                      <w:szCs w:val="16"/>
                    </w:rPr>
                  </w:pPr>
                  <w:r>
                    <w:rPr>
                      <w:sz w:val="16"/>
                      <w:szCs w:val="16"/>
                    </w:rPr>
                    <w:t>Complies with DOL sec 404(c)</w:t>
                  </w:r>
                </w:p>
              </w:tc>
              <w:tc>
                <w:tcPr>
                  <w:tcW w:w="216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10C364E" w14:textId="77777777" w:rsidR="00B420F2" w:rsidRDefault="00C931AE">
                  <w:pPr>
                    <w:rPr>
                      <w:sz w:val="16"/>
                      <w:szCs w:val="16"/>
                    </w:rPr>
                  </w:pPr>
                  <w:r>
                    <w:rPr>
                      <w:sz w:val="16"/>
                      <w:szCs w:val="16"/>
                    </w:rPr>
                    <w:t>Yes</w:t>
                  </w:r>
                </w:p>
              </w:tc>
            </w:tr>
            <w:tr w:rsidR="00B420F2" w14:paraId="3AF2B490" w14:textId="77777777">
              <w:tc>
                <w:tcPr>
                  <w:tcW w:w="288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428437A" w14:textId="77777777" w:rsidR="00B420F2" w:rsidRDefault="00C931AE">
                  <w:pPr>
                    <w:rPr>
                      <w:sz w:val="16"/>
                      <w:szCs w:val="16"/>
                    </w:rPr>
                  </w:pPr>
                  <w:r>
                    <w:rPr>
                      <w:sz w:val="16"/>
                      <w:szCs w:val="16"/>
                    </w:rPr>
                    <w:t>Participant Self-Direction</w:t>
                  </w:r>
                </w:p>
              </w:tc>
              <w:tc>
                <w:tcPr>
                  <w:tcW w:w="216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7B16169" w14:textId="77777777" w:rsidR="00B420F2" w:rsidRDefault="00C931AE">
                  <w:pPr>
                    <w:rPr>
                      <w:sz w:val="16"/>
                      <w:szCs w:val="16"/>
                    </w:rPr>
                  </w:pPr>
                  <w:r>
                    <w:rPr>
                      <w:sz w:val="16"/>
                      <w:szCs w:val="16"/>
                    </w:rPr>
                    <w:t>Total</w:t>
                  </w:r>
                </w:p>
              </w:tc>
            </w:tr>
            <w:tr w:rsidR="00B420F2" w14:paraId="2C6D0833" w14:textId="77777777">
              <w:tc>
                <w:tcPr>
                  <w:tcW w:w="288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C05D3BA" w14:textId="77777777" w:rsidR="00B420F2" w:rsidRDefault="00C931AE">
                  <w:pPr>
                    <w:rPr>
                      <w:sz w:val="16"/>
                      <w:szCs w:val="16"/>
                    </w:rPr>
                  </w:pPr>
                  <w:r>
                    <w:rPr>
                      <w:sz w:val="16"/>
                      <w:szCs w:val="16"/>
                    </w:rPr>
                    <w:t>ESOP Maintained by Subchapter S</w:t>
                  </w:r>
                </w:p>
              </w:tc>
              <w:tc>
                <w:tcPr>
                  <w:tcW w:w="216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5698511F" w14:textId="77777777" w:rsidR="00B420F2" w:rsidRDefault="00C931AE">
                  <w:pPr>
                    <w:rPr>
                      <w:sz w:val="16"/>
                      <w:szCs w:val="16"/>
                    </w:rPr>
                  </w:pPr>
                  <w:r>
                    <w:rPr>
                      <w:sz w:val="16"/>
                      <w:szCs w:val="16"/>
                    </w:rPr>
                    <w:t>No</w:t>
                  </w:r>
                </w:p>
              </w:tc>
            </w:tr>
            <w:tr w:rsidR="00B420F2" w14:paraId="72F9A424" w14:textId="77777777">
              <w:tc>
                <w:tcPr>
                  <w:tcW w:w="288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6DE0629E" w14:textId="77777777" w:rsidR="00B420F2" w:rsidRDefault="00C931AE">
                  <w:pPr>
                    <w:rPr>
                      <w:sz w:val="16"/>
                      <w:szCs w:val="16"/>
                    </w:rPr>
                  </w:pPr>
                  <w:r>
                    <w:rPr>
                      <w:sz w:val="16"/>
                      <w:szCs w:val="16"/>
                    </w:rPr>
                    <w:t>Plan Allows Brokerage Accounts</w:t>
                  </w:r>
                </w:p>
              </w:tc>
              <w:tc>
                <w:tcPr>
                  <w:tcW w:w="216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54343C49" w14:textId="77777777" w:rsidR="00B420F2" w:rsidRDefault="00C931AE">
                  <w:pPr>
                    <w:rPr>
                      <w:sz w:val="16"/>
                      <w:szCs w:val="16"/>
                    </w:rPr>
                  </w:pPr>
                  <w:r>
                    <w:rPr>
                      <w:sz w:val="16"/>
                      <w:szCs w:val="16"/>
                    </w:rPr>
                    <w:t>Yes</w:t>
                  </w:r>
                </w:p>
              </w:tc>
            </w:tr>
            <w:tr w:rsidR="00B420F2" w14:paraId="2F387086" w14:textId="77777777">
              <w:tc>
                <w:tcPr>
                  <w:tcW w:w="288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6E1B014C" w14:textId="77777777" w:rsidR="00B420F2" w:rsidRDefault="00C931AE">
                  <w:pPr>
                    <w:rPr>
                      <w:sz w:val="16"/>
                      <w:szCs w:val="16"/>
                    </w:rPr>
                  </w:pPr>
                  <w:r>
                    <w:rPr>
                      <w:sz w:val="16"/>
                      <w:szCs w:val="16"/>
                    </w:rPr>
                    <w:t>Auto Enrollment</w:t>
                  </w:r>
                </w:p>
              </w:tc>
              <w:tc>
                <w:tcPr>
                  <w:tcW w:w="216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1D0DA324" w14:textId="77777777" w:rsidR="00B420F2" w:rsidRDefault="00C931AE">
                  <w:pPr>
                    <w:rPr>
                      <w:sz w:val="16"/>
                      <w:szCs w:val="16"/>
                    </w:rPr>
                  </w:pPr>
                  <w:r>
                    <w:rPr>
                      <w:sz w:val="16"/>
                      <w:szCs w:val="16"/>
                    </w:rPr>
                    <w:t>Yes</w:t>
                  </w:r>
                </w:p>
              </w:tc>
            </w:tr>
            <w:tr w:rsidR="00B420F2" w14:paraId="25A19298" w14:textId="77777777">
              <w:tc>
                <w:tcPr>
                  <w:tcW w:w="288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341935B" w14:textId="77777777" w:rsidR="00B420F2" w:rsidRDefault="00C931AE">
                  <w:pPr>
                    <w:rPr>
                      <w:sz w:val="16"/>
                      <w:szCs w:val="16"/>
                    </w:rPr>
                  </w:pPr>
                  <w:r>
                    <w:rPr>
                      <w:sz w:val="16"/>
                      <w:szCs w:val="16"/>
                    </w:rPr>
                    <w:t>Default Investment Accounts</w:t>
                  </w:r>
                </w:p>
              </w:tc>
              <w:tc>
                <w:tcPr>
                  <w:tcW w:w="216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5BED942" w14:textId="77777777" w:rsidR="00B420F2" w:rsidRDefault="00C931AE">
                  <w:pPr>
                    <w:rPr>
                      <w:sz w:val="16"/>
                      <w:szCs w:val="16"/>
                    </w:rPr>
                  </w:pPr>
                  <w:r>
                    <w:rPr>
                      <w:sz w:val="16"/>
                      <w:szCs w:val="16"/>
                    </w:rPr>
                    <w:t>Yes</w:t>
                  </w:r>
                </w:p>
              </w:tc>
            </w:tr>
            <w:tr w:rsidR="00B420F2" w14:paraId="11667114" w14:textId="77777777">
              <w:tc>
                <w:tcPr>
                  <w:tcW w:w="288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2818DFC" w14:textId="77777777" w:rsidR="00B420F2" w:rsidRDefault="00C931AE">
                  <w:pPr>
                    <w:rPr>
                      <w:sz w:val="16"/>
                      <w:szCs w:val="16"/>
                    </w:rPr>
                  </w:pPr>
                  <w:r>
                    <w:rPr>
                      <w:sz w:val="16"/>
                      <w:szCs w:val="16"/>
                    </w:rPr>
                    <w:t>Plan Invests in Empl Securities</w:t>
                  </w:r>
                </w:p>
              </w:tc>
              <w:tc>
                <w:tcPr>
                  <w:tcW w:w="216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7F30E24C" w14:textId="77777777" w:rsidR="00B420F2" w:rsidRDefault="00C931AE">
                  <w:pPr>
                    <w:rPr>
                      <w:sz w:val="16"/>
                      <w:szCs w:val="16"/>
                    </w:rPr>
                  </w:pPr>
                  <w:r>
                    <w:rPr>
                      <w:sz w:val="16"/>
                      <w:szCs w:val="16"/>
                    </w:rPr>
                    <w:t>No</w:t>
                  </w:r>
                </w:p>
              </w:tc>
            </w:tr>
            <w:tr w:rsidR="00B420F2" w14:paraId="6F815815" w14:textId="77777777">
              <w:tc>
                <w:tcPr>
                  <w:tcW w:w="288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20CBC4C" w14:textId="77777777" w:rsidR="00B420F2" w:rsidRDefault="00C931AE">
                  <w:pPr>
                    <w:rPr>
                      <w:sz w:val="16"/>
                      <w:szCs w:val="16"/>
                    </w:rPr>
                  </w:pPr>
                  <w:r>
                    <w:rPr>
                      <w:sz w:val="16"/>
                      <w:szCs w:val="16"/>
                    </w:rPr>
                    <w:t>Sponsor is Part of Controlled Group</w:t>
                  </w:r>
                </w:p>
              </w:tc>
              <w:tc>
                <w:tcPr>
                  <w:tcW w:w="216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5DA073A5" w14:textId="77777777" w:rsidR="00B420F2" w:rsidRDefault="00C931AE">
                  <w:pPr>
                    <w:rPr>
                      <w:sz w:val="16"/>
                      <w:szCs w:val="16"/>
                    </w:rPr>
                  </w:pPr>
                  <w:r>
                    <w:rPr>
                      <w:sz w:val="16"/>
                      <w:szCs w:val="16"/>
                    </w:rPr>
                    <w:t>No</w:t>
                  </w:r>
                </w:p>
              </w:tc>
            </w:tr>
          </w:tbl>
          <w:p w14:paraId="501D00FC" w14:textId="77777777" w:rsidR="00B420F2" w:rsidRDefault="00B420F2"/>
        </w:tc>
      </w:tr>
    </w:tbl>
    <w:p w14:paraId="4EC2B9F3" w14:textId="77777777" w:rsidR="00B420F2" w:rsidRDefault="00B420F2"/>
    <w:p w14:paraId="1F646E7B" w14:textId="77777777" w:rsidR="00B420F2" w:rsidRDefault="00C931AE">
      <w:r>
        <w:br w:type="page"/>
      </w:r>
    </w:p>
    <w:tbl>
      <w:tblPr>
        <w:tblStyle w:val="TableGridPHPDOCX"/>
        <w:tblOverlap w:val="never"/>
        <w:tblW w:w="10800" w:type="dxa"/>
        <w:tblLook w:val="04A0" w:firstRow="1" w:lastRow="0" w:firstColumn="1" w:lastColumn="0" w:noHBand="0" w:noVBand="1"/>
      </w:tblPr>
      <w:tblGrid>
        <w:gridCol w:w="10800"/>
      </w:tblGrid>
      <w:tr w:rsidR="00B420F2" w14:paraId="03A1ABBE" w14:textId="77777777">
        <w:tc>
          <w:tcPr>
            <w:tcW w:w="7200" w:type="dxa"/>
            <w:shd w:val="clear" w:color="auto" w:fill="C4D82D"/>
          </w:tcPr>
          <w:p w14:paraId="6AEF17EF" w14:textId="77777777" w:rsidR="00B420F2" w:rsidRDefault="00C931AE">
            <w:pPr>
              <w:jc w:val="center"/>
              <w:rPr>
                <w:b/>
                <w:bCs/>
                <w:color w:val="000000"/>
                <w:sz w:val="20"/>
                <w:szCs w:val="20"/>
              </w:rPr>
            </w:pPr>
            <w:r>
              <w:rPr>
                <w:b/>
                <w:bCs/>
                <w:color w:val="000000"/>
                <w:sz w:val="20"/>
                <w:szCs w:val="20"/>
              </w:rPr>
              <w:lastRenderedPageBreak/>
              <w:t>Google Llc</w:t>
            </w:r>
          </w:p>
          <w:p w14:paraId="71760EF4" w14:textId="77777777" w:rsidR="00B420F2" w:rsidRDefault="00C931AE">
            <w:pPr>
              <w:jc w:val="center"/>
              <w:rPr>
                <w:b/>
                <w:bCs/>
                <w:color w:val="000000"/>
                <w:sz w:val="20"/>
                <w:szCs w:val="20"/>
              </w:rPr>
            </w:pPr>
            <w:r>
              <w:rPr>
                <w:b/>
                <w:bCs/>
                <w:color w:val="000000"/>
                <w:sz w:val="20"/>
                <w:szCs w:val="20"/>
              </w:rPr>
              <w:t>Google Llc 401(K) Savings Plan</w:t>
            </w:r>
          </w:p>
          <w:p w14:paraId="59288C78" w14:textId="77777777" w:rsidR="00B420F2" w:rsidRDefault="00C931AE">
            <w:pPr>
              <w:jc w:val="center"/>
              <w:rPr>
                <w:b/>
                <w:bCs/>
                <w:color w:val="000000"/>
                <w:sz w:val="20"/>
                <w:szCs w:val="20"/>
              </w:rPr>
            </w:pPr>
            <w:r>
              <w:rPr>
                <w:b/>
                <w:bCs/>
                <w:color w:val="000000"/>
                <w:sz w:val="20"/>
                <w:szCs w:val="20"/>
              </w:rPr>
              <w:t>Operational Planning Opportunities</w:t>
            </w:r>
          </w:p>
        </w:tc>
      </w:tr>
    </w:tbl>
    <w:p w14:paraId="6C464AD3"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400"/>
        <w:gridCol w:w="5400"/>
      </w:tblGrid>
      <w:tr w:rsidR="00B420F2" w14:paraId="32C99B6F" w14:textId="77777777">
        <w:tc>
          <w:tcPr>
            <w:tcW w:w="5400" w:type="dxa"/>
            <w:gridSpan w:val="2"/>
            <w:shd w:val="clear" w:color="auto" w:fill="3232FF"/>
            <w:tcMar>
              <w:top w:w="60" w:type="dxa"/>
              <w:left w:w="60" w:type="dxa"/>
              <w:bottom w:w="60" w:type="dxa"/>
              <w:right w:w="60" w:type="dxa"/>
            </w:tcMar>
          </w:tcPr>
          <w:p w14:paraId="5FB16056" w14:textId="77777777" w:rsidR="00B420F2" w:rsidRDefault="00C931AE">
            <w:pPr>
              <w:jc w:val="center"/>
              <w:rPr>
                <w:b/>
                <w:bCs/>
                <w:color w:val="FFFFFF"/>
                <w:sz w:val="20"/>
                <w:szCs w:val="20"/>
              </w:rPr>
            </w:pPr>
            <w:r>
              <w:rPr>
                <w:b/>
                <w:bCs/>
                <w:color w:val="FFFFFF"/>
                <w:sz w:val="20"/>
                <w:szCs w:val="20"/>
              </w:rPr>
              <w:t>Plan Alerts - Benchmarks</w:t>
            </w:r>
          </w:p>
        </w:tc>
      </w:tr>
      <w:tr w:rsidR="00B420F2" w14:paraId="0295D0A1"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7B5CC325" w14:textId="77777777" w:rsidR="00B420F2" w:rsidRDefault="00C931AE">
            <w:pPr>
              <w:rPr>
                <w:b/>
                <w:bCs/>
                <w:color w:val="3232FF"/>
                <w:sz w:val="18"/>
                <w:szCs w:val="18"/>
              </w:rPr>
            </w:pPr>
            <w:r>
              <w:rPr>
                <w:b/>
                <w:bCs/>
                <w:color w:val="3232FF"/>
                <w:sz w:val="18"/>
                <w:szCs w:val="18"/>
              </w:rPr>
              <w:t xml:space="preserve">  </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30B749C5" w14:textId="77777777" w:rsidR="00B420F2" w:rsidRDefault="00B420F2">
            <w:pPr>
              <w:rPr>
                <w:sz w:val="18"/>
                <w:szCs w:val="18"/>
              </w:rPr>
            </w:pPr>
          </w:p>
        </w:tc>
      </w:tr>
      <w:tr w:rsidR="00B420F2" w14:paraId="3A2DFE7D"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48715D98" w14:textId="77777777" w:rsidR="00B420F2" w:rsidRDefault="00C931AE">
            <w:pPr>
              <w:rPr>
                <w:b/>
                <w:bCs/>
                <w:color w:val="3232FF"/>
                <w:sz w:val="18"/>
                <w:szCs w:val="18"/>
              </w:rPr>
            </w:pPr>
            <w:r>
              <w:rPr>
                <w:b/>
                <w:bCs/>
                <w:color w:val="3232FF"/>
                <w:sz w:val="18"/>
                <w:szCs w:val="18"/>
              </w:rPr>
              <w:t xml:space="preserve">  Corrective Distributions/Participant</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40207766" w14:textId="77777777" w:rsidR="00B420F2" w:rsidRDefault="00C931AE">
            <w:pPr>
              <w:rPr>
                <w:sz w:val="18"/>
                <w:szCs w:val="18"/>
              </w:rPr>
            </w:pPr>
            <w:r>
              <w:rPr>
                <w:sz w:val="18"/>
                <w:szCs w:val="18"/>
              </w:rPr>
              <w:t>The plan has a high percentile score compared to its peer group. A high percentile score generally indicates failed non-discrimination tests and/or forfeiture of participant loans.</w:t>
            </w:r>
          </w:p>
          <w:p w14:paraId="3891531B" w14:textId="77777777" w:rsidR="00B420F2" w:rsidRDefault="00B420F2"/>
        </w:tc>
      </w:tr>
      <w:tr w:rsidR="00B420F2" w14:paraId="3A046B7B"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1188C66C" w14:textId="77777777" w:rsidR="00B420F2" w:rsidRDefault="00C931AE">
            <w:pPr>
              <w:rPr>
                <w:b/>
                <w:bCs/>
                <w:color w:val="3232FF"/>
                <w:sz w:val="18"/>
                <w:szCs w:val="18"/>
              </w:rPr>
            </w:pPr>
            <w:r>
              <w:rPr>
                <w:b/>
                <w:bCs/>
                <w:color w:val="3232FF"/>
                <w:sz w:val="18"/>
                <w:szCs w:val="18"/>
              </w:rPr>
              <w:t xml:space="preserve">  Investment Return</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4730DBE0" w14:textId="77777777" w:rsidR="00B420F2" w:rsidRDefault="00C931AE">
            <w:pPr>
              <w:rPr>
                <w:sz w:val="18"/>
                <w:szCs w:val="18"/>
              </w:rPr>
            </w:pPr>
            <w:r>
              <w:rPr>
                <w:sz w:val="18"/>
                <w:szCs w:val="18"/>
              </w:rPr>
              <w:t>The plan has a low percentile score compared to its p</w:t>
            </w:r>
            <w:r>
              <w:rPr>
                <w:sz w:val="18"/>
                <w:szCs w:val="18"/>
              </w:rPr>
              <w:t>eer group.  This is an indication that plan investments may need to be reviewed.</w:t>
            </w:r>
          </w:p>
          <w:p w14:paraId="386FF485" w14:textId="77777777" w:rsidR="00B420F2" w:rsidRDefault="00B420F2"/>
        </w:tc>
      </w:tr>
    </w:tbl>
    <w:p w14:paraId="569C2D5E"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400"/>
        <w:gridCol w:w="5400"/>
      </w:tblGrid>
      <w:tr w:rsidR="00B420F2" w14:paraId="540BC68E" w14:textId="77777777">
        <w:tc>
          <w:tcPr>
            <w:tcW w:w="5400" w:type="dxa"/>
            <w:gridSpan w:val="2"/>
            <w:shd w:val="clear" w:color="auto" w:fill="3232FF"/>
            <w:tcMar>
              <w:top w:w="60" w:type="dxa"/>
              <w:left w:w="60" w:type="dxa"/>
              <w:bottom w:w="60" w:type="dxa"/>
              <w:right w:w="60" w:type="dxa"/>
            </w:tcMar>
          </w:tcPr>
          <w:p w14:paraId="40854744" w14:textId="77777777" w:rsidR="00B420F2" w:rsidRDefault="00C931AE">
            <w:pPr>
              <w:jc w:val="center"/>
              <w:rPr>
                <w:b/>
                <w:bCs/>
                <w:color w:val="FFFFFF"/>
                <w:sz w:val="20"/>
                <w:szCs w:val="20"/>
              </w:rPr>
            </w:pPr>
            <w:r>
              <w:rPr>
                <w:b/>
                <w:bCs/>
                <w:color w:val="FFFFFF"/>
                <w:sz w:val="20"/>
                <w:szCs w:val="20"/>
              </w:rPr>
              <w:t>Plan Alerts - Planning Opportunities</w:t>
            </w:r>
          </w:p>
        </w:tc>
      </w:tr>
      <w:tr w:rsidR="00B420F2" w14:paraId="2B2F56C3"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62CD2108" w14:textId="77777777" w:rsidR="00B420F2" w:rsidRDefault="00C931AE">
            <w:pPr>
              <w:rPr>
                <w:b/>
                <w:bCs/>
                <w:color w:val="3232FF"/>
                <w:sz w:val="18"/>
                <w:szCs w:val="18"/>
              </w:rPr>
            </w:pPr>
            <w:r>
              <w:rPr>
                <w:b/>
                <w:bCs/>
                <w:color w:val="3232FF"/>
                <w:sz w:val="18"/>
                <w:szCs w:val="18"/>
              </w:rPr>
              <w:t xml:space="preserve">  </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72791BE0" w14:textId="77777777" w:rsidR="00B420F2" w:rsidRDefault="00B420F2">
            <w:pPr>
              <w:rPr>
                <w:sz w:val="18"/>
                <w:szCs w:val="18"/>
              </w:rPr>
            </w:pPr>
          </w:p>
        </w:tc>
      </w:tr>
      <w:tr w:rsidR="00B420F2" w14:paraId="4A0F7E30"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52205061" w14:textId="77777777" w:rsidR="00B420F2" w:rsidRDefault="00C931AE">
            <w:pPr>
              <w:rPr>
                <w:b/>
                <w:bCs/>
                <w:color w:val="3232FF"/>
                <w:sz w:val="18"/>
                <w:szCs w:val="18"/>
              </w:rPr>
            </w:pPr>
            <w:r>
              <w:rPr>
                <w:b/>
                <w:bCs/>
                <w:color w:val="3232FF"/>
                <w:sz w:val="18"/>
                <w:szCs w:val="18"/>
              </w:rPr>
              <w:t xml:space="preserve">  Cross Tested Plan</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3CB87567" w14:textId="77777777" w:rsidR="00B420F2" w:rsidRDefault="00C931AE">
            <w:pPr>
              <w:rPr>
                <w:sz w:val="18"/>
                <w:szCs w:val="18"/>
              </w:rPr>
            </w:pPr>
            <w:r>
              <w:rPr>
                <w:sz w:val="18"/>
                <w:szCs w:val="18"/>
              </w:rPr>
              <w:t>The plan does not provide for cross-testing. A cross-tested plan may allow for older business owners to recei</w:t>
            </w:r>
            <w:r>
              <w:rPr>
                <w:sz w:val="18"/>
                <w:szCs w:val="18"/>
              </w:rPr>
              <w:t>ve higher profit-sharing allocations as a percentage of compensation than other employees. This feature is generally most effective when business owners are older and enough other employees are younger.</w:t>
            </w:r>
          </w:p>
          <w:p w14:paraId="0B7CB3EF" w14:textId="77777777" w:rsidR="00B420F2" w:rsidRDefault="00B420F2"/>
        </w:tc>
      </w:tr>
      <w:tr w:rsidR="00B420F2" w14:paraId="183DC9FE"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4F68D147" w14:textId="77777777" w:rsidR="00B420F2" w:rsidRDefault="00C931AE">
            <w:pPr>
              <w:rPr>
                <w:b/>
                <w:bCs/>
                <w:color w:val="3232FF"/>
                <w:sz w:val="18"/>
                <w:szCs w:val="18"/>
              </w:rPr>
            </w:pPr>
            <w:r>
              <w:rPr>
                <w:b/>
                <w:bCs/>
                <w:color w:val="3232FF"/>
                <w:sz w:val="18"/>
                <w:szCs w:val="18"/>
              </w:rPr>
              <w:t xml:space="preserve">  Plan Allows Brokerage Accounts</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03316278" w14:textId="77777777" w:rsidR="00B420F2" w:rsidRDefault="00C931AE">
            <w:pPr>
              <w:rPr>
                <w:sz w:val="18"/>
                <w:szCs w:val="18"/>
              </w:rPr>
            </w:pPr>
            <w:r>
              <w:rPr>
                <w:sz w:val="18"/>
                <w:szCs w:val="18"/>
              </w:rPr>
              <w:t>The plan allows brokerage accounts. While this can be great feature for small owner-dominated plans, this feature can lead to higher expenses and compliance issues if the plan covers a number of non-owners.</w:t>
            </w:r>
          </w:p>
          <w:p w14:paraId="189B489F" w14:textId="77777777" w:rsidR="00B420F2" w:rsidRDefault="00B420F2"/>
        </w:tc>
      </w:tr>
    </w:tbl>
    <w:p w14:paraId="157AD1AB"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400"/>
        <w:gridCol w:w="5400"/>
      </w:tblGrid>
      <w:tr w:rsidR="00B420F2" w14:paraId="236D249D" w14:textId="77777777">
        <w:trPr>
          <w:cantSplit/>
          <w:tblHeader/>
        </w:trPr>
        <w:tc>
          <w:tcPr>
            <w:tcW w:w="5400" w:type="dxa"/>
            <w:gridSpan w:val="2"/>
            <w:shd w:val="clear" w:color="auto" w:fill="3232FF"/>
            <w:tcMar>
              <w:top w:w="60" w:type="dxa"/>
              <w:left w:w="60" w:type="dxa"/>
              <w:bottom w:w="60" w:type="dxa"/>
              <w:right w:w="60" w:type="dxa"/>
            </w:tcMar>
          </w:tcPr>
          <w:p w14:paraId="23CA5009" w14:textId="77777777" w:rsidR="00B420F2" w:rsidRDefault="00C931AE">
            <w:pPr>
              <w:jc w:val="center"/>
              <w:rPr>
                <w:b/>
                <w:bCs/>
                <w:color w:val="FFFFFF"/>
                <w:sz w:val="20"/>
                <w:szCs w:val="20"/>
              </w:rPr>
            </w:pPr>
            <w:r>
              <w:rPr>
                <w:b/>
                <w:bCs/>
                <w:color w:val="FFFFFF"/>
                <w:sz w:val="20"/>
                <w:szCs w:val="20"/>
              </w:rPr>
              <w:t>Plan Alerts -</w:t>
            </w:r>
            <w:r>
              <w:rPr>
                <w:b/>
                <w:bCs/>
                <w:color w:val="FFFFFF"/>
                <w:sz w:val="20"/>
                <w:szCs w:val="20"/>
              </w:rPr>
              <w:t xml:space="preserve"> Plan Status</w:t>
            </w:r>
          </w:p>
        </w:tc>
      </w:tr>
      <w:tr w:rsidR="00B420F2" w14:paraId="457DE89F" w14:textId="77777777">
        <w:trPr>
          <w:cantSplit/>
        </w:trPr>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2D226F7B" w14:textId="77777777" w:rsidR="00B420F2" w:rsidRDefault="00C931AE">
            <w:pPr>
              <w:rPr>
                <w:b/>
                <w:bCs/>
                <w:color w:val="3232FF"/>
                <w:sz w:val="18"/>
                <w:szCs w:val="18"/>
              </w:rPr>
            </w:pPr>
            <w:r>
              <w:rPr>
                <w:b/>
                <w:bCs/>
                <w:color w:val="3232FF"/>
                <w:sz w:val="18"/>
                <w:szCs w:val="18"/>
              </w:rPr>
              <w:t xml:space="preserve">  </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1D1B905C" w14:textId="77777777" w:rsidR="00B420F2" w:rsidRDefault="00B420F2">
            <w:pPr>
              <w:rPr>
                <w:sz w:val="18"/>
                <w:szCs w:val="18"/>
              </w:rPr>
            </w:pPr>
          </w:p>
        </w:tc>
      </w:tr>
      <w:tr w:rsidR="00B420F2" w14:paraId="2DB06700" w14:textId="77777777">
        <w:trPr>
          <w:cantSplit/>
        </w:trPr>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0A51F561" w14:textId="77777777" w:rsidR="00B420F2" w:rsidRDefault="00C931AE">
            <w:pPr>
              <w:rPr>
                <w:b/>
                <w:bCs/>
                <w:color w:val="3232FF"/>
                <w:sz w:val="18"/>
                <w:szCs w:val="18"/>
              </w:rPr>
            </w:pPr>
            <w:r>
              <w:rPr>
                <w:b/>
                <w:bCs/>
                <w:color w:val="3232FF"/>
                <w:sz w:val="18"/>
                <w:szCs w:val="18"/>
              </w:rPr>
              <w:t xml:space="preserve">  Participant Loans</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053F4702" w14:textId="77777777" w:rsidR="00B420F2" w:rsidRDefault="00C931AE">
            <w:pPr>
              <w:rPr>
                <w:sz w:val="18"/>
                <w:szCs w:val="18"/>
              </w:rPr>
            </w:pPr>
            <w:r>
              <w:rPr>
                <w:sz w:val="18"/>
                <w:szCs w:val="18"/>
              </w:rPr>
              <w:t>The plan allows participants to obtain loans from the plan. This feature can lead to higher expenses and compliance issues.</w:t>
            </w:r>
          </w:p>
          <w:p w14:paraId="6793D71D" w14:textId="77777777" w:rsidR="00B420F2" w:rsidRDefault="00B420F2"/>
        </w:tc>
      </w:tr>
    </w:tbl>
    <w:p w14:paraId="636C4151" w14:textId="77777777" w:rsidR="00B420F2" w:rsidRDefault="00C931AE">
      <w:r>
        <w:br w:type="page"/>
      </w:r>
    </w:p>
    <w:tbl>
      <w:tblPr>
        <w:tblStyle w:val="TableGridPHPDOCX"/>
        <w:tblOverlap w:val="never"/>
        <w:tblW w:w="10800" w:type="dxa"/>
        <w:tblLook w:val="04A0" w:firstRow="1" w:lastRow="0" w:firstColumn="1" w:lastColumn="0" w:noHBand="0" w:noVBand="1"/>
      </w:tblPr>
      <w:tblGrid>
        <w:gridCol w:w="10800"/>
      </w:tblGrid>
      <w:tr w:rsidR="00B420F2" w14:paraId="524378E2" w14:textId="77777777">
        <w:tc>
          <w:tcPr>
            <w:tcW w:w="7200" w:type="dxa"/>
            <w:shd w:val="clear" w:color="auto" w:fill="C4D82D"/>
          </w:tcPr>
          <w:p w14:paraId="4B12A3DB" w14:textId="77777777" w:rsidR="00B420F2" w:rsidRDefault="00C931AE">
            <w:pPr>
              <w:jc w:val="center"/>
              <w:rPr>
                <w:b/>
                <w:bCs/>
                <w:color w:val="000000"/>
                <w:sz w:val="20"/>
                <w:szCs w:val="20"/>
              </w:rPr>
            </w:pPr>
            <w:r>
              <w:rPr>
                <w:b/>
                <w:bCs/>
                <w:color w:val="000000"/>
                <w:sz w:val="20"/>
                <w:szCs w:val="20"/>
              </w:rPr>
              <w:lastRenderedPageBreak/>
              <w:t>Google Llc</w:t>
            </w:r>
          </w:p>
          <w:p w14:paraId="2524E3D3" w14:textId="77777777" w:rsidR="00B420F2" w:rsidRDefault="00C931AE">
            <w:pPr>
              <w:jc w:val="center"/>
              <w:rPr>
                <w:b/>
                <w:bCs/>
                <w:color w:val="000000"/>
                <w:sz w:val="20"/>
                <w:szCs w:val="20"/>
              </w:rPr>
            </w:pPr>
            <w:r>
              <w:rPr>
                <w:b/>
                <w:bCs/>
                <w:color w:val="000000"/>
                <w:sz w:val="20"/>
                <w:szCs w:val="20"/>
              </w:rPr>
              <w:t>Google Llc 401(K) Savings Plan</w:t>
            </w:r>
          </w:p>
          <w:p w14:paraId="1344D246" w14:textId="77777777" w:rsidR="00B420F2" w:rsidRDefault="00C931AE">
            <w:pPr>
              <w:jc w:val="center"/>
              <w:rPr>
                <w:b/>
                <w:bCs/>
                <w:color w:val="000000"/>
                <w:sz w:val="20"/>
                <w:szCs w:val="20"/>
              </w:rPr>
            </w:pPr>
            <w:r>
              <w:rPr>
                <w:b/>
                <w:bCs/>
                <w:color w:val="000000"/>
                <w:sz w:val="20"/>
                <w:szCs w:val="20"/>
              </w:rPr>
              <w:t>Operational Benchmark Description</w:t>
            </w:r>
          </w:p>
        </w:tc>
      </w:tr>
    </w:tbl>
    <w:p w14:paraId="01814B73"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400"/>
        <w:gridCol w:w="5400"/>
      </w:tblGrid>
      <w:tr w:rsidR="00B420F2" w14:paraId="52054708" w14:textId="77777777">
        <w:tc>
          <w:tcPr>
            <w:tcW w:w="5400" w:type="dxa"/>
            <w:tcBorders>
              <w:top w:val="none" w:sz="6" w:space="0" w:color="000000"/>
              <w:left w:val="none" w:sz="6" w:space="0" w:color="000000"/>
              <w:bottom w:val="none" w:sz="6" w:space="0" w:color="000000"/>
              <w:right w:val="none" w:sz="6" w:space="0" w:color="000000"/>
            </w:tcBorders>
          </w:tcPr>
          <w:tbl>
            <w:tblPr>
              <w:tblStyle w:val="TableGridPHPDOCX"/>
              <w:tblOverlap w:val="never"/>
              <w:tblW w:w="5040" w:type="dxa"/>
              <w:tblLayout w:type="fixed"/>
              <w:tblLook w:val="04A0" w:firstRow="1" w:lastRow="0" w:firstColumn="1" w:lastColumn="0" w:noHBand="0" w:noVBand="1"/>
            </w:tblPr>
            <w:tblGrid>
              <w:gridCol w:w="5040"/>
            </w:tblGrid>
            <w:tr w:rsidR="00B420F2" w14:paraId="7DAF6CA8" w14:textId="77777777">
              <w:tc>
                <w:tcPr>
                  <w:tcW w:w="5040" w:type="dxa"/>
                  <w:shd w:val="clear" w:color="auto" w:fill="3232FF"/>
                  <w:tcMar>
                    <w:top w:w="60" w:type="dxa"/>
                    <w:left w:w="60" w:type="dxa"/>
                    <w:bottom w:w="60" w:type="dxa"/>
                    <w:right w:w="60" w:type="dxa"/>
                  </w:tcMar>
                </w:tcPr>
                <w:p w14:paraId="583829FB" w14:textId="77777777" w:rsidR="00B420F2" w:rsidRDefault="00C931AE">
                  <w:pPr>
                    <w:jc w:val="center"/>
                    <w:rPr>
                      <w:b/>
                      <w:bCs/>
                      <w:color w:val="FFFFFF"/>
                      <w:sz w:val="20"/>
                      <w:szCs w:val="20"/>
                    </w:rPr>
                  </w:pPr>
                  <w:r>
                    <w:rPr>
                      <w:b/>
                      <w:bCs/>
                      <w:color w:val="FFFFFF"/>
                      <w:sz w:val="20"/>
                      <w:szCs w:val="20"/>
                    </w:rPr>
                    <w:t>Plan Overall Operational Score</w:t>
                  </w:r>
                </w:p>
              </w:tc>
            </w:tr>
            <w:tr w:rsidR="00B420F2" w14:paraId="64B5DB99" w14:textId="77777777">
              <w:tc>
                <w:tcPr>
                  <w:tcW w:w="5040" w:type="dxa"/>
                  <w:tcBorders>
                    <w:top w:val="none" w:sz="6" w:space="0" w:color="000000"/>
                    <w:left w:val="none" w:sz="6" w:space="0" w:color="000000"/>
                    <w:bottom w:val="none" w:sz="6" w:space="0" w:color="000000"/>
                    <w:right w:val="none" w:sz="6" w:space="0" w:color="000000"/>
                  </w:tcBorders>
                </w:tcPr>
                <w:p w14:paraId="4DE8529B" w14:textId="77777777" w:rsidR="00B420F2" w:rsidRDefault="00C931AE">
                  <w:pPr>
                    <w:jc w:val="center"/>
                  </w:pPr>
                  <w:r>
                    <w:rPr>
                      <w:noProof/>
                    </w:rPr>
                    <w:drawing>
                      <wp:inline distT="0" distB="0" distL="0" distR="0" wp14:anchorId="621E2EC6" wp14:editId="3AF53A7F">
                        <wp:extent cx="2743200" cy="1959429"/>
                        <wp:effectExtent l="0" t="0" r="0" b="0"/>
                        <wp:docPr id="94565441" name="Picture 1" descr="/tmp/1f3c3ee8111332a0aad0c117a32d25f9_b39dd_20191015201155P040087730647001_TotalOverallBenchmarkScorePercentileScore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TotalOverallBenchmarkScorePercentileScoreOnly"/>
                                <pic:cNvPicPr/>
                              </pic:nvPicPr>
                              <pic:blipFill>
                                <a:blip r:embed="rId8" cstate="print"/>
                                <a:stretch>
                                  <a:fillRect/>
                                </a:stretch>
                              </pic:blipFill>
                              <pic:spPr>
                                <a:xfrm>
                                  <a:off x="0" y="0"/>
                                  <a:ext cx="2743200" cy="1959429"/>
                                </a:xfrm>
                                <a:prstGeom prst="rect">
                                  <a:avLst/>
                                </a:prstGeom>
                              </pic:spPr>
                            </pic:pic>
                          </a:graphicData>
                        </a:graphic>
                      </wp:inline>
                    </w:drawing>
                  </w:r>
                </w:p>
              </w:tc>
            </w:tr>
            <w:tr w:rsidR="00B420F2" w14:paraId="04A1F66E" w14:textId="77777777">
              <w:tc>
                <w:tcPr>
                  <w:tcW w:w="5040" w:type="dxa"/>
                  <w:tcBorders>
                    <w:top w:val="none" w:sz="6" w:space="0" w:color="000000"/>
                    <w:left w:val="none" w:sz="6" w:space="0" w:color="000000"/>
                    <w:bottom w:val="none" w:sz="6" w:space="0" w:color="000000"/>
                    <w:right w:val="none" w:sz="6" w:space="0" w:color="000000"/>
                  </w:tcBorders>
                  <w:tcMar>
                    <w:top w:w="0" w:type="dxa"/>
                    <w:left w:w="0" w:type="dxa"/>
                    <w:bottom w:w="0" w:type="dxa"/>
                    <w:right w:w="0" w:type="dxa"/>
                  </w:tcMar>
                </w:tcPr>
                <w:p w14:paraId="2FB66DE0" w14:textId="77777777" w:rsidR="00B420F2" w:rsidRDefault="00C931AE">
                  <w:pPr>
                    <w:jc w:val="center"/>
                    <w:rPr>
                      <w:sz w:val="14"/>
                      <w:szCs w:val="14"/>
                    </w:rPr>
                  </w:pPr>
                  <w:r>
                    <w:rPr>
                      <w:sz w:val="14"/>
                      <w:szCs w:val="14"/>
                    </w:rPr>
                    <w:t>Scores Range from 0 to 100 with 100 being a perfect score.</w:t>
                  </w:r>
                </w:p>
              </w:tc>
            </w:tr>
          </w:tbl>
          <w:p w14:paraId="54779B73" w14:textId="77777777" w:rsidR="00B420F2" w:rsidRDefault="00B420F2"/>
        </w:tc>
        <w:tc>
          <w:tcPr>
            <w:tcW w:w="5400" w:type="dxa"/>
            <w:tcBorders>
              <w:top w:val="none" w:sz="6" w:space="0" w:color="000000"/>
              <w:left w:val="none" w:sz="6" w:space="0" w:color="000000"/>
              <w:bottom w:val="none" w:sz="6" w:space="0" w:color="000000"/>
              <w:right w:val="none" w:sz="6" w:space="0" w:color="000000"/>
            </w:tcBorders>
          </w:tcPr>
          <w:tbl>
            <w:tblPr>
              <w:tblStyle w:val="TableGridPHPDOCX"/>
              <w:tblOverlap w:val="never"/>
              <w:tblW w:w="5040" w:type="dxa"/>
              <w:tblLayout w:type="fixed"/>
              <w:tblLook w:val="04A0" w:firstRow="1" w:lastRow="0" w:firstColumn="1" w:lastColumn="0" w:noHBand="0" w:noVBand="1"/>
            </w:tblPr>
            <w:tblGrid>
              <w:gridCol w:w="2520"/>
              <w:gridCol w:w="2520"/>
            </w:tblGrid>
            <w:tr w:rsidR="00B420F2" w14:paraId="2F1DA35E" w14:textId="77777777">
              <w:tc>
                <w:tcPr>
                  <w:tcW w:w="2520" w:type="dxa"/>
                  <w:gridSpan w:val="2"/>
                  <w:shd w:val="clear" w:color="auto" w:fill="3232FF"/>
                  <w:tcMar>
                    <w:top w:w="60" w:type="dxa"/>
                    <w:left w:w="60" w:type="dxa"/>
                    <w:bottom w:w="60" w:type="dxa"/>
                    <w:right w:w="60" w:type="dxa"/>
                  </w:tcMar>
                </w:tcPr>
                <w:p w14:paraId="0B935B2E" w14:textId="77777777" w:rsidR="00B420F2" w:rsidRDefault="00C931AE">
                  <w:pPr>
                    <w:jc w:val="center"/>
                    <w:rPr>
                      <w:b/>
                      <w:bCs/>
                      <w:color w:val="FFFFFF"/>
                      <w:sz w:val="20"/>
                      <w:szCs w:val="20"/>
                    </w:rPr>
                  </w:pPr>
                  <w:r>
                    <w:rPr>
                      <w:b/>
                      <w:bCs/>
                      <w:color w:val="FFFFFF"/>
                      <w:sz w:val="20"/>
                      <w:szCs w:val="20"/>
                    </w:rPr>
                    <w:t>Benchmark Peer Group</w:t>
                  </w:r>
                </w:p>
              </w:tc>
            </w:tr>
            <w:tr w:rsidR="00B420F2" w14:paraId="50BB0532"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1F1114B5" w14:textId="77777777" w:rsidR="00B420F2" w:rsidRDefault="00C931AE">
                  <w:pPr>
                    <w:rPr>
                      <w:sz w:val="16"/>
                      <w:szCs w:val="16"/>
                    </w:rPr>
                  </w:pPr>
                  <w:r>
                    <w:rPr>
                      <w:sz w:val="16"/>
                      <w:szCs w:val="16"/>
                    </w:rPr>
                    <w:t>Peer Group Business Category</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6D542923" w14:textId="77777777" w:rsidR="00B420F2" w:rsidRDefault="00C931AE">
                  <w:pPr>
                    <w:rPr>
                      <w:sz w:val="16"/>
                      <w:szCs w:val="16"/>
                    </w:rPr>
                  </w:pPr>
                  <w:r>
                    <w:rPr>
                      <w:sz w:val="16"/>
                      <w:szCs w:val="16"/>
                    </w:rPr>
                    <w:t>Information and Publishing</w:t>
                  </w:r>
                </w:p>
              </w:tc>
            </w:tr>
            <w:tr w:rsidR="00B420F2" w14:paraId="62A37DF2"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1C33525" w14:textId="77777777" w:rsidR="00B420F2" w:rsidRDefault="00C931AE">
                  <w:pPr>
                    <w:rPr>
                      <w:sz w:val="16"/>
                      <w:szCs w:val="16"/>
                    </w:rPr>
                  </w:pPr>
                  <w:r>
                    <w:rPr>
                      <w:sz w:val="16"/>
                      <w:szCs w:val="16"/>
                    </w:rPr>
                    <w:t>Peer Group Size</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8DA8816" w14:textId="77777777" w:rsidR="00B420F2" w:rsidRDefault="00C931AE">
                  <w:pPr>
                    <w:rPr>
                      <w:sz w:val="16"/>
                      <w:szCs w:val="16"/>
                    </w:rPr>
                  </w:pPr>
                  <w:r>
                    <w:rPr>
                      <w:sz w:val="16"/>
                      <w:szCs w:val="16"/>
                    </w:rPr>
                    <w:t>Over 5,000 Participants</w:t>
                  </w:r>
                </w:p>
              </w:tc>
            </w:tr>
            <w:tr w:rsidR="00B420F2" w14:paraId="3189FDC6" w14:textId="77777777">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5239178" w14:textId="77777777" w:rsidR="00B420F2" w:rsidRDefault="00C931AE">
                  <w:pPr>
                    <w:rPr>
                      <w:sz w:val="16"/>
                      <w:szCs w:val="16"/>
                    </w:rPr>
                  </w:pPr>
                  <w:r>
                    <w:rPr>
                      <w:sz w:val="16"/>
                      <w:szCs w:val="16"/>
                    </w:rPr>
                    <w:t>Plans in Peer Group</w:t>
                  </w:r>
                </w:p>
              </w:tc>
              <w:tc>
                <w:tcPr>
                  <w:tcW w:w="25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090794B" w14:textId="77777777" w:rsidR="00B420F2" w:rsidRDefault="00C931AE">
                  <w:pPr>
                    <w:rPr>
                      <w:sz w:val="16"/>
                      <w:szCs w:val="16"/>
                    </w:rPr>
                  </w:pPr>
                  <w:r>
                    <w:rPr>
                      <w:sz w:val="16"/>
                      <w:szCs w:val="16"/>
                    </w:rPr>
                    <w:t>69</w:t>
                  </w:r>
                </w:p>
              </w:tc>
            </w:tr>
          </w:tbl>
          <w:p w14:paraId="15D9725E" w14:textId="77777777" w:rsidR="00B420F2" w:rsidRDefault="00B420F2"/>
        </w:tc>
      </w:tr>
    </w:tbl>
    <w:p w14:paraId="2F82D14E" w14:textId="77777777" w:rsidR="00B420F2" w:rsidRDefault="00B420F2"/>
    <w:tbl>
      <w:tblPr>
        <w:tblStyle w:val="TableGridPHPDOCX"/>
        <w:tblOverlap w:val="never"/>
        <w:tblW w:w="10800" w:type="dxa"/>
        <w:tblLayout w:type="fixed"/>
        <w:tblLook w:val="04A0" w:firstRow="1" w:lastRow="0" w:firstColumn="1" w:lastColumn="0" w:noHBand="0" w:noVBand="1"/>
      </w:tblPr>
      <w:tblGrid>
        <w:gridCol w:w="10800"/>
      </w:tblGrid>
      <w:tr w:rsidR="00B420F2" w14:paraId="63B1623D" w14:textId="77777777">
        <w:tc>
          <w:tcPr>
            <w:tcW w:w="5400" w:type="dxa"/>
            <w:shd w:val="clear" w:color="auto" w:fill="3232FF"/>
            <w:tcMar>
              <w:top w:w="60" w:type="dxa"/>
              <w:left w:w="60" w:type="dxa"/>
              <w:bottom w:w="60" w:type="dxa"/>
              <w:right w:w="60" w:type="dxa"/>
            </w:tcMar>
          </w:tcPr>
          <w:p w14:paraId="48A4572E" w14:textId="77777777" w:rsidR="00B420F2" w:rsidRDefault="00C931AE">
            <w:pPr>
              <w:jc w:val="center"/>
              <w:rPr>
                <w:b/>
                <w:bCs/>
                <w:color w:val="FFFFFF"/>
                <w:sz w:val="20"/>
                <w:szCs w:val="20"/>
              </w:rPr>
            </w:pPr>
            <w:r>
              <w:rPr>
                <w:b/>
                <w:bCs/>
                <w:color w:val="FFFFFF"/>
                <w:sz w:val="20"/>
                <w:szCs w:val="20"/>
              </w:rPr>
              <w:t>How to Interpret the Benchmarking Data</w:t>
            </w:r>
          </w:p>
        </w:tc>
      </w:tr>
      <w:tr w:rsidR="00B420F2" w14:paraId="1A1C989A" w14:textId="77777777">
        <w:tc>
          <w:tcPr>
            <w:tcW w:w="5400" w:type="dxa"/>
            <w:tcMar>
              <w:top w:w="4" w:type="dxa"/>
              <w:left w:w="4" w:type="dxa"/>
              <w:bottom w:w="4" w:type="dxa"/>
              <w:right w:w="4" w:type="dxa"/>
            </w:tcMar>
          </w:tcPr>
          <w:p w14:paraId="2712B8E5" w14:textId="77777777" w:rsidR="00B420F2" w:rsidRDefault="00B420F2"/>
          <w:p w14:paraId="144BF0E7" w14:textId="77777777" w:rsidR="00B420F2" w:rsidRDefault="00C931AE">
            <w:pPr>
              <w:jc w:val="center"/>
              <w:rPr>
                <w:b/>
                <w:bCs/>
                <w:sz w:val="16"/>
                <w:szCs w:val="16"/>
              </w:rPr>
            </w:pPr>
            <w:r>
              <w:rPr>
                <w:b/>
                <w:bCs/>
                <w:sz w:val="16"/>
                <w:szCs w:val="16"/>
              </w:rPr>
              <w:t>Plan Overall Operational Score</w:t>
            </w:r>
          </w:p>
          <w:p w14:paraId="40657AE0" w14:textId="77777777" w:rsidR="00B420F2" w:rsidRDefault="00B420F2"/>
          <w:p w14:paraId="1027BC9E" w14:textId="77777777" w:rsidR="00B420F2" w:rsidRDefault="00C931AE">
            <w:pPr>
              <w:rPr>
                <w:sz w:val="16"/>
                <w:szCs w:val="16"/>
              </w:rPr>
            </w:pPr>
            <w:r>
              <w:rPr>
                <w:sz w:val="16"/>
                <w:szCs w:val="16"/>
              </w:rPr>
              <w:t>The total overall operational benchmark score is a proprietary metric that takes into account most of the operational metrics described in this report. Scores Range from 0 to 100 with</w:t>
            </w:r>
            <w:r>
              <w:rPr>
                <w:sz w:val="16"/>
                <w:szCs w:val="16"/>
              </w:rPr>
              <w:t xml:space="preserve"> 100 being a perfect score.</w:t>
            </w:r>
          </w:p>
          <w:p w14:paraId="5F7BB9AF" w14:textId="77777777" w:rsidR="00B420F2" w:rsidRDefault="00B420F2"/>
          <w:p w14:paraId="288F68EF" w14:textId="77777777" w:rsidR="00B420F2" w:rsidRDefault="00C931AE">
            <w:pPr>
              <w:jc w:val="center"/>
              <w:rPr>
                <w:b/>
                <w:bCs/>
                <w:sz w:val="16"/>
                <w:szCs w:val="16"/>
              </w:rPr>
            </w:pPr>
            <w:r>
              <w:rPr>
                <w:b/>
                <w:bCs/>
                <w:sz w:val="16"/>
                <w:szCs w:val="16"/>
              </w:rPr>
              <w:t>Individual Operational Metrics</w:t>
            </w:r>
          </w:p>
          <w:p w14:paraId="20B9640E" w14:textId="77777777" w:rsidR="00B420F2" w:rsidRDefault="00B420F2"/>
          <w:p w14:paraId="03402EA7" w14:textId="77777777" w:rsidR="00B420F2" w:rsidRDefault="00C931AE">
            <w:pPr>
              <w:rPr>
                <w:sz w:val="16"/>
                <w:szCs w:val="16"/>
              </w:rPr>
            </w:pPr>
            <w:r>
              <w:rPr>
                <w:sz w:val="16"/>
                <w:szCs w:val="16"/>
              </w:rPr>
              <w:t>The benchmarking is performed using the plan's standard peer group.  The standard peer group is determined using the business code entered for the plan sponsor and the number participants entered</w:t>
            </w:r>
            <w:r>
              <w:rPr>
                <w:sz w:val="16"/>
                <w:szCs w:val="16"/>
              </w:rPr>
              <w:t xml:space="preserve"> on the most recently filed Form 5500. The business codes are aggregated into 22 business categories. The business and plan size categories for the plan are summarized in the box above.</w:t>
            </w:r>
          </w:p>
          <w:p w14:paraId="504A6DAC" w14:textId="77777777" w:rsidR="00B420F2" w:rsidRDefault="00B420F2"/>
          <w:p w14:paraId="525E3162" w14:textId="77777777" w:rsidR="00B420F2" w:rsidRDefault="00C931AE">
            <w:pPr>
              <w:rPr>
                <w:sz w:val="16"/>
                <w:szCs w:val="16"/>
              </w:rPr>
            </w:pPr>
            <w:r>
              <w:rPr>
                <w:sz w:val="16"/>
                <w:szCs w:val="16"/>
              </w:rPr>
              <w:t>Each individual benchmark is represented by a percentile score of the</w:t>
            </w:r>
            <w:r>
              <w:rPr>
                <w:sz w:val="16"/>
                <w:szCs w:val="16"/>
              </w:rPr>
              <w:t xml:space="preserve"> plan versus its peer group.  For most benchmarks, the higher the percentile, the better the performance. For example, if the Investment Return of the plan is at the 70th percentile, that means that 70% of the plans in the peer group performed worse than t</w:t>
            </w:r>
            <w:r>
              <w:rPr>
                <w:sz w:val="16"/>
                <w:szCs w:val="16"/>
              </w:rPr>
              <w:t>he plan and only 30% performed better. For the Administrative Expense/Participant, Corrective Distributions/Participant and Average Benefit Distributions/Participant metrics, the higher the percentile, the less favorable the performance. For example, if th</w:t>
            </w:r>
            <w:r>
              <w:rPr>
                <w:sz w:val="16"/>
                <w:szCs w:val="16"/>
              </w:rPr>
              <w:t>e Administrative Expense/Participant of the plan is at the 70th percentile, that means that 70% of the plans in the peer group had lower administrative expense per participant and only 30% had higher administrative expense per participant.</w:t>
            </w:r>
          </w:p>
          <w:p w14:paraId="02995B8A" w14:textId="77777777" w:rsidR="00B420F2" w:rsidRDefault="00B420F2"/>
          <w:p w14:paraId="505975EE" w14:textId="77777777" w:rsidR="00B420F2" w:rsidRDefault="00C931AE">
            <w:pPr>
              <w:rPr>
                <w:sz w:val="16"/>
                <w:szCs w:val="16"/>
              </w:rPr>
            </w:pPr>
            <w:r>
              <w:rPr>
                <w:sz w:val="16"/>
                <w:szCs w:val="16"/>
              </w:rPr>
              <w:t>A red gauge mea</w:t>
            </w:r>
            <w:r>
              <w:rPr>
                <w:sz w:val="16"/>
                <w:szCs w:val="16"/>
              </w:rPr>
              <w:t>ns that the plan rates unfavorably versus the peer group. A yellow gauge indicates that plan is in the middle of the pack and a green gauge means that the plan rates favorably versus the peer group. In many cases, a red gauge indicates that corrective acti</w:t>
            </w:r>
            <w:r>
              <w:rPr>
                <w:sz w:val="16"/>
                <w:szCs w:val="16"/>
              </w:rPr>
              <w:t>on may be warranted.</w:t>
            </w:r>
          </w:p>
          <w:p w14:paraId="130DF92B" w14:textId="77777777" w:rsidR="00B420F2" w:rsidRDefault="00B420F2"/>
        </w:tc>
      </w:tr>
    </w:tbl>
    <w:p w14:paraId="56170557" w14:textId="77777777" w:rsidR="00B420F2" w:rsidRDefault="00C931AE">
      <w:r>
        <w:br w:type="page"/>
      </w:r>
    </w:p>
    <w:tbl>
      <w:tblPr>
        <w:tblStyle w:val="TableGridPHPDOCX"/>
        <w:tblOverlap w:val="never"/>
        <w:tblW w:w="10800" w:type="dxa"/>
        <w:tblLook w:val="04A0" w:firstRow="1" w:lastRow="0" w:firstColumn="1" w:lastColumn="0" w:noHBand="0" w:noVBand="1"/>
      </w:tblPr>
      <w:tblGrid>
        <w:gridCol w:w="10800"/>
      </w:tblGrid>
      <w:tr w:rsidR="00B420F2" w14:paraId="7901C004" w14:textId="77777777">
        <w:tc>
          <w:tcPr>
            <w:tcW w:w="7200" w:type="dxa"/>
            <w:shd w:val="clear" w:color="auto" w:fill="C4D82D"/>
          </w:tcPr>
          <w:p w14:paraId="4C34B9B0" w14:textId="77777777" w:rsidR="00B420F2" w:rsidRDefault="00C931AE">
            <w:pPr>
              <w:jc w:val="center"/>
              <w:rPr>
                <w:b/>
                <w:bCs/>
                <w:color w:val="000000"/>
                <w:sz w:val="20"/>
                <w:szCs w:val="20"/>
              </w:rPr>
            </w:pPr>
            <w:r>
              <w:rPr>
                <w:b/>
                <w:bCs/>
                <w:color w:val="000000"/>
                <w:sz w:val="20"/>
                <w:szCs w:val="20"/>
              </w:rPr>
              <w:lastRenderedPageBreak/>
              <w:t>Google Llc</w:t>
            </w:r>
          </w:p>
          <w:p w14:paraId="1DC48209" w14:textId="77777777" w:rsidR="00B420F2" w:rsidRDefault="00C931AE">
            <w:pPr>
              <w:jc w:val="center"/>
              <w:rPr>
                <w:b/>
                <w:bCs/>
                <w:color w:val="000000"/>
                <w:sz w:val="20"/>
                <w:szCs w:val="20"/>
              </w:rPr>
            </w:pPr>
            <w:r>
              <w:rPr>
                <w:b/>
                <w:bCs/>
                <w:color w:val="000000"/>
                <w:sz w:val="20"/>
                <w:szCs w:val="20"/>
              </w:rPr>
              <w:t>Google Llc 401(K) Savings Plan</w:t>
            </w:r>
          </w:p>
          <w:p w14:paraId="16BD58BB" w14:textId="77777777" w:rsidR="00B420F2" w:rsidRDefault="00C931AE">
            <w:pPr>
              <w:jc w:val="center"/>
              <w:rPr>
                <w:b/>
                <w:bCs/>
                <w:color w:val="000000"/>
                <w:sz w:val="20"/>
                <w:szCs w:val="20"/>
              </w:rPr>
            </w:pPr>
            <w:r>
              <w:rPr>
                <w:b/>
                <w:bCs/>
                <w:color w:val="000000"/>
                <w:sz w:val="20"/>
                <w:szCs w:val="20"/>
              </w:rPr>
              <w:t>Detail Operational Benchmark Results</w:t>
            </w:r>
          </w:p>
        </w:tc>
      </w:tr>
    </w:tbl>
    <w:p w14:paraId="53306199"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760"/>
        <w:gridCol w:w="5040"/>
      </w:tblGrid>
      <w:tr w:rsidR="00B420F2" w14:paraId="62ECE0B9" w14:textId="77777777">
        <w:tc>
          <w:tcPr>
            <w:tcW w:w="5760" w:type="dxa"/>
            <w:tcBorders>
              <w:top w:val="none" w:sz="6" w:space="0" w:color="000000"/>
              <w:left w:val="none" w:sz="6" w:space="0" w:color="000000"/>
              <w:bottom w:val="none" w:sz="6" w:space="0" w:color="000000"/>
              <w:right w:val="none" w:sz="6" w:space="0" w:color="000000"/>
            </w:tcBorders>
            <w:tcMar>
              <w:top w:w="4" w:type="dxa"/>
              <w:left w:w="4" w:type="dxa"/>
              <w:bottom w:w="4" w:type="dxa"/>
              <w:right w:w="4" w:type="dxa"/>
            </w:tcMar>
          </w:tcPr>
          <w:p w14:paraId="021D0613" w14:textId="77777777" w:rsidR="00B420F2" w:rsidRDefault="00C931AE">
            <w:pPr>
              <w:rPr>
                <w:b/>
                <w:bCs/>
                <w:color w:val="3232FF"/>
                <w:sz w:val="24"/>
                <w:szCs w:val="24"/>
              </w:rPr>
            </w:pPr>
            <w:r>
              <w:rPr>
                <w:b/>
                <w:bCs/>
                <w:color w:val="3232FF"/>
                <w:sz w:val="24"/>
                <w:szCs w:val="24"/>
              </w:rPr>
              <w:t>Investment Return</w:t>
            </w:r>
          </w:p>
          <w:p w14:paraId="2E7EB210" w14:textId="77777777" w:rsidR="00B420F2" w:rsidRDefault="00B420F2"/>
          <w:p w14:paraId="4D81DB44" w14:textId="77777777" w:rsidR="00B420F2" w:rsidRDefault="00C931AE">
            <w:pPr>
              <w:rPr>
                <w:sz w:val="18"/>
                <w:szCs w:val="18"/>
              </w:rPr>
            </w:pPr>
            <w:r>
              <w:rPr>
                <w:sz w:val="18"/>
                <w:szCs w:val="18"/>
              </w:rPr>
              <w:t>This metric measures the investment return of the plan against the total assets of the plan.  Investment return is determined excluding company contributions and participant distributions. A red gauge means that the plan rates unfavorably (low percentile s</w:t>
            </w:r>
            <w:r>
              <w:rPr>
                <w:sz w:val="18"/>
                <w:szCs w:val="18"/>
              </w:rPr>
              <w:t>core) and a green gauge means that the plan rates favorably (high percentile score) versus the peer group. This metric also displays the investment return of the plan over the four prior years against the peer group.</w:t>
            </w:r>
          </w:p>
          <w:p w14:paraId="09C5AD2D" w14:textId="77777777" w:rsidR="00B420F2" w:rsidRDefault="00B420F2"/>
          <w:p w14:paraId="7F915948" w14:textId="77777777" w:rsidR="00B420F2" w:rsidRDefault="00C931AE">
            <w:pPr>
              <w:rPr>
                <w:i/>
                <w:iCs/>
                <w:sz w:val="18"/>
                <w:szCs w:val="18"/>
              </w:rPr>
            </w:pPr>
            <w:r>
              <w:rPr>
                <w:i/>
                <w:iCs/>
                <w:sz w:val="18"/>
                <w:szCs w:val="18"/>
              </w:rPr>
              <w:t>A high or low percentile score for a g</w:t>
            </w:r>
            <w:r>
              <w:rPr>
                <w:i/>
                <w:iCs/>
                <w:sz w:val="18"/>
                <w:szCs w:val="18"/>
              </w:rPr>
              <w:t>iven year generally cannot be interpreted as good or bad. Performance can only be judged over several years.</w:t>
            </w:r>
          </w:p>
          <w:p w14:paraId="061B195E" w14:textId="77777777" w:rsidR="00B420F2" w:rsidRDefault="00B420F2"/>
        </w:tc>
        <w:tc>
          <w:tcPr>
            <w:tcW w:w="5040" w:type="dxa"/>
            <w:tcBorders>
              <w:top w:val="none" w:sz="6" w:space="0" w:color="000000"/>
              <w:left w:val="none" w:sz="6" w:space="0" w:color="000000"/>
              <w:bottom w:val="none" w:sz="6" w:space="0" w:color="000000"/>
              <w:right w:val="none" w:sz="6" w:space="0" w:color="000000"/>
            </w:tcBorders>
          </w:tcPr>
          <w:p w14:paraId="58A8E883" w14:textId="77777777" w:rsidR="00B420F2" w:rsidRDefault="00C931AE">
            <w:pPr>
              <w:jc w:val="center"/>
            </w:pPr>
            <w:r>
              <w:rPr>
                <w:noProof/>
              </w:rPr>
              <w:drawing>
                <wp:inline distT="0" distB="0" distL="0" distR="0" wp14:anchorId="6CD1E86F" wp14:editId="4BCEE368">
                  <wp:extent cx="2743200" cy="1959429"/>
                  <wp:effectExtent l="0" t="0" r="0" b="0"/>
                  <wp:docPr id="961580495" name="Picture 1" descr="/tmp/1f3c3ee8111332a0aad0c117a32d25f9_b39dd_20191015201155P040087730647001_InvestmentRetu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InvestmentReturn.png"/>
                          <pic:cNvPicPr/>
                        </pic:nvPicPr>
                        <pic:blipFill>
                          <a:blip r:embed="rId9" cstate="print"/>
                          <a:stretch>
                            <a:fillRect/>
                          </a:stretch>
                        </pic:blipFill>
                        <pic:spPr>
                          <a:xfrm>
                            <a:off x="0" y="0"/>
                            <a:ext cx="2743200" cy="1959429"/>
                          </a:xfrm>
                          <a:prstGeom prst="rect">
                            <a:avLst/>
                          </a:prstGeom>
                        </pic:spPr>
                      </pic:pic>
                    </a:graphicData>
                  </a:graphic>
                </wp:inline>
              </w:drawing>
            </w:r>
          </w:p>
        </w:tc>
      </w:tr>
    </w:tbl>
    <w:p w14:paraId="34761211" w14:textId="77777777" w:rsidR="00B420F2" w:rsidRDefault="00B420F2"/>
    <w:p w14:paraId="309FEF7E" w14:textId="77777777" w:rsidR="00B420F2" w:rsidRDefault="00B420F2"/>
    <w:p w14:paraId="02B37C09" w14:textId="77777777" w:rsidR="00B420F2" w:rsidRDefault="00C931AE">
      <w:pPr>
        <w:jc w:val="center"/>
      </w:pPr>
      <w:r>
        <w:rPr>
          <w:noProof/>
        </w:rPr>
        <w:drawing>
          <wp:inline distT="0" distB="0" distL="0" distR="0" wp14:anchorId="5AF6FB00" wp14:editId="50081042">
            <wp:extent cx="5760720" cy="4114800"/>
            <wp:effectExtent l="0" t="0" r="0" b="0"/>
            <wp:docPr id="315218498" name="Picture 1" descr="/tmp/1f3c3ee8111332a0aad0c117a32d25f9_b39dd_20191015201155P040087730647001_InvestmentReturn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InvestmentReturnLong.png"/>
                    <pic:cNvPicPr/>
                  </pic:nvPicPr>
                  <pic:blipFill>
                    <a:blip r:embed="rId10" cstate="print"/>
                    <a:stretch>
                      <a:fillRect/>
                    </a:stretch>
                  </pic:blipFill>
                  <pic:spPr>
                    <a:xfrm>
                      <a:off x="0" y="0"/>
                      <a:ext cx="5760720" cy="4114800"/>
                    </a:xfrm>
                    <a:prstGeom prst="rect">
                      <a:avLst/>
                    </a:prstGeom>
                  </pic:spPr>
                </pic:pic>
              </a:graphicData>
            </a:graphic>
          </wp:inline>
        </w:drawing>
      </w:r>
    </w:p>
    <w:p w14:paraId="3AAA0EC8" w14:textId="77777777" w:rsidR="00B420F2" w:rsidRDefault="00C931AE">
      <w:r>
        <w:br w:type="page"/>
      </w:r>
    </w:p>
    <w:tbl>
      <w:tblPr>
        <w:tblStyle w:val="TableGridPHPDOCX"/>
        <w:tblOverlap w:val="never"/>
        <w:tblW w:w="10800" w:type="dxa"/>
        <w:tblLook w:val="04A0" w:firstRow="1" w:lastRow="0" w:firstColumn="1" w:lastColumn="0" w:noHBand="0" w:noVBand="1"/>
      </w:tblPr>
      <w:tblGrid>
        <w:gridCol w:w="10800"/>
      </w:tblGrid>
      <w:tr w:rsidR="00B420F2" w14:paraId="216873FE" w14:textId="77777777">
        <w:tc>
          <w:tcPr>
            <w:tcW w:w="7200" w:type="dxa"/>
            <w:shd w:val="clear" w:color="auto" w:fill="C4D82D"/>
          </w:tcPr>
          <w:p w14:paraId="2905DA43" w14:textId="77777777" w:rsidR="00B420F2" w:rsidRDefault="00C931AE">
            <w:pPr>
              <w:jc w:val="center"/>
              <w:rPr>
                <w:b/>
                <w:bCs/>
                <w:color w:val="000000"/>
                <w:sz w:val="20"/>
                <w:szCs w:val="20"/>
              </w:rPr>
            </w:pPr>
            <w:r>
              <w:rPr>
                <w:b/>
                <w:bCs/>
                <w:color w:val="000000"/>
                <w:sz w:val="20"/>
                <w:szCs w:val="20"/>
              </w:rPr>
              <w:lastRenderedPageBreak/>
              <w:t>Google Llc</w:t>
            </w:r>
          </w:p>
          <w:p w14:paraId="60931162" w14:textId="77777777" w:rsidR="00B420F2" w:rsidRDefault="00C931AE">
            <w:pPr>
              <w:jc w:val="center"/>
              <w:rPr>
                <w:b/>
                <w:bCs/>
                <w:color w:val="000000"/>
                <w:sz w:val="20"/>
                <w:szCs w:val="20"/>
              </w:rPr>
            </w:pPr>
            <w:r>
              <w:rPr>
                <w:b/>
                <w:bCs/>
                <w:color w:val="000000"/>
                <w:sz w:val="20"/>
                <w:szCs w:val="20"/>
              </w:rPr>
              <w:t>Google Llc 401(K) Savings Plan</w:t>
            </w:r>
          </w:p>
          <w:p w14:paraId="050EBCAA" w14:textId="77777777" w:rsidR="00B420F2" w:rsidRDefault="00C931AE">
            <w:pPr>
              <w:jc w:val="center"/>
              <w:rPr>
                <w:b/>
                <w:bCs/>
                <w:color w:val="000000"/>
                <w:sz w:val="20"/>
                <w:szCs w:val="20"/>
              </w:rPr>
            </w:pPr>
            <w:r>
              <w:rPr>
                <w:b/>
                <w:bCs/>
                <w:color w:val="000000"/>
                <w:sz w:val="20"/>
                <w:szCs w:val="20"/>
              </w:rPr>
              <w:t>Detail Operational Benchmark Results</w:t>
            </w:r>
          </w:p>
        </w:tc>
      </w:tr>
    </w:tbl>
    <w:p w14:paraId="3F368D86"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760"/>
        <w:gridCol w:w="5040"/>
      </w:tblGrid>
      <w:tr w:rsidR="00B420F2" w14:paraId="3D3AF502" w14:textId="77777777">
        <w:tc>
          <w:tcPr>
            <w:tcW w:w="5760" w:type="dxa"/>
            <w:tcBorders>
              <w:top w:val="none" w:sz="6" w:space="0" w:color="000000"/>
              <w:left w:val="none" w:sz="6" w:space="0" w:color="000000"/>
              <w:bottom w:val="none" w:sz="6" w:space="0" w:color="000000"/>
              <w:right w:val="none" w:sz="6" w:space="0" w:color="000000"/>
            </w:tcBorders>
            <w:tcMar>
              <w:top w:w="4" w:type="dxa"/>
              <w:left w:w="4" w:type="dxa"/>
              <w:bottom w:w="4" w:type="dxa"/>
              <w:right w:w="4" w:type="dxa"/>
            </w:tcMar>
          </w:tcPr>
          <w:p w14:paraId="2AE014A3" w14:textId="77777777" w:rsidR="00B420F2" w:rsidRDefault="00C931AE">
            <w:pPr>
              <w:rPr>
                <w:b/>
                <w:bCs/>
                <w:color w:val="3232FF"/>
                <w:sz w:val="24"/>
                <w:szCs w:val="24"/>
              </w:rPr>
            </w:pPr>
            <w:r>
              <w:rPr>
                <w:b/>
                <w:bCs/>
                <w:color w:val="3232FF"/>
                <w:sz w:val="24"/>
                <w:szCs w:val="24"/>
              </w:rPr>
              <w:t>Administrative Expense/Participant</w:t>
            </w:r>
          </w:p>
          <w:p w14:paraId="71848B93" w14:textId="77777777" w:rsidR="00B420F2" w:rsidRDefault="00B420F2"/>
          <w:p w14:paraId="04EB88DB" w14:textId="77777777" w:rsidR="00B420F2" w:rsidRDefault="00C931AE">
            <w:pPr>
              <w:rPr>
                <w:sz w:val="18"/>
                <w:szCs w:val="18"/>
              </w:rPr>
            </w:pPr>
            <w:r>
              <w:rPr>
                <w:sz w:val="18"/>
                <w:szCs w:val="18"/>
              </w:rPr>
              <w:t xml:space="preserve">Administrative Expense per Participant is determined by dividing the total operating expenses paid by the plan by the total active participants in the plan at the end of the year. Please note that this metric only takes </w:t>
            </w:r>
            <w:r>
              <w:rPr>
                <w:sz w:val="18"/>
                <w:szCs w:val="18"/>
              </w:rPr>
              <w:t>into account expenses paid by the plan. It does not factor in expenses paid directly by the plan sponsor. A red gauge means that the plan rates unfavorably (high percentile score) and a green gauge means that the plan rates favorably (low percentile score)</w:t>
            </w:r>
            <w:r>
              <w:rPr>
                <w:sz w:val="18"/>
                <w:szCs w:val="18"/>
              </w:rPr>
              <w:t xml:space="preserve"> versus the peer group. This metric also displays the administrative expense per participant of the plan over the four prior years against the peer group.</w:t>
            </w:r>
          </w:p>
          <w:p w14:paraId="5AEDF62D" w14:textId="77777777" w:rsidR="00B420F2" w:rsidRDefault="00B420F2"/>
          <w:p w14:paraId="7609F429" w14:textId="77777777" w:rsidR="00B420F2" w:rsidRDefault="00C931AE">
            <w:pPr>
              <w:rPr>
                <w:i/>
                <w:iCs/>
                <w:sz w:val="18"/>
                <w:szCs w:val="18"/>
              </w:rPr>
            </w:pPr>
            <w:r>
              <w:rPr>
                <w:i/>
                <w:iCs/>
                <w:sz w:val="18"/>
                <w:szCs w:val="18"/>
              </w:rPr>
              <w:t>A high percentile score generally indicates that the plan has higher than average expenses or that t</w:t>
            </w:r>
            <w:r>
              <w:rPr>
                <w:i/>
                <w:iCs/>
                <w:sz w:val="18"/>
                <w:szCs w:val="18"/>
              </w:rPr>
              <w:t>he plan sponsor pays less in plan expenses than other plan sponsors.</w:t>
            </w:r>
          </w:p>
          <w:p w14:paraId="76E8C499" w14:textId="77777777" w:rsidR="00B420F2" w:rsidRDefault="00B420F2"/>
        </w:tc>
        <w:tc>
          <w:tcPr>
            <w:tcW w:w="5040" w:type="dxa"/>
            <w:tcBorders>
              <w:top w:val="none" w:sz="6" w:space="0" w:color="000000"/>
              <w:left w:val="none" w:sz="6" w:space="0" w:color="000000"/>
              <w:bottom w:val="none" w:sz="6" w:space="0" w:color="000000"/>
              <w:right w:val="none" w:sz="6" w:space="0" w:color="000000"/>
            </w:tcBorders>
          </w:tcPr>
          <w:p w14:paraId="5ACB1D96" w14:textId="77777777" w:rsidR="00B420F2" w:rsidRDefault="00C931AE">
            <w:pPr>
              <w:jc w:val="center"/>
            </w:pPr>
            <w:r>
              <w:rPr>
                <w:noProof/>
              </w:rPr>
              <w:drawing>
                <wp:inline distT="0" distB="0" distL="0" distR="0" wp14:anchorId="606484F9" wp14:editId="0B4E2BDD">
                  <wp:extent cx="2743200" cy="1959429"/>
                  <wp:effectExtent l="0" t="0" r="0" b="0"/>
                  <wp:docPr id="892307435" name="Picture 1" descr="/tmp/1f3c3ee8111332a0aad0c117a32d25f9_b39dd_20191015201155P040087730647001_TotAministrativeExpPer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TotAministrativeExpPerPart.png"/>
                          <pic:cNvPicPr/>
                        </pic:nvPicPr>
                        <pic:blipFill>
                          <a:blip r:embed="rId11" cstate="print"/>
                          <a:stretch>
                            <a:fillRect/>
                          </a:stretch>
                        </pic:blipFill>
                        <pic:spPr>
                          <a:xfrm>
                            <a:off x="0" y="0"/>
                            <a:ext cx="2743200" cy="1959429"/>
                          </a:xfrm>
                          <a:prstGeom prst="rect">
                            <a:avLst/>
                          </a:prstGeom>
                        </pic:spPr>
                      </pic:pic>
                    </a:graphicData>
                  </a:graphic>
                </wp:inline>
              </w:drawing>
            </w:r>
          </w:p>
        </w:tc>
      </w:tr>
    </w:tbl>
    <w:p w14:paraId="19D62EB0" w14:textId="77777777" w:rsidR="00B420F2" w:rsidRDefault="00B420F2"/>
    <w:p w14:paraId="48C9CB10" w14:textId="77777777" w:rsidR="00B420F2" w:rsidRDefault="00B420F2"/>
    <w:p w14:paraId="007FF657" w14:textId="77777777" w:rsidR="00B420F2" w:rsidRDefault="00C931AE">
      <w:pPr>
        <w:jc w:val="center"/>
      </w:pPr>
      <w:r>
        <w:rPr>
          <w:noProof/>
        </w:rPr>
        <w:drawing>
          <wp:inline distT="0" distB="0" distL="0" distR="0" wp14:anchorId="50F563DF" wp14:editId="710550C1">
            <wp:extent cx="5760720" cy="4114800"/>
            <wp:effectExtent l="0" t="0" r="0" b="0"/>
            <wp:docPr id="398177042" name="Picture 1" descr="/tmp/1f3c3ee8111332a0aad0c117a32d25f9_b39dd_20191015201155P040087730647001_TotAministrativeExpPerPart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TotAministrativeExpPerPartLong.png"/>
                    <pic:cNvPicPr/>
                  </pic:nvPicPr>
                  <pic:blipFill>
                    <a:blip r:embed="rId12" cstate="print"/>
                    <a:stretch>
                      <a:fillRect/>
                    </a:stretch>
                  </pic:blipFill>
                  <pic:spPr>
                    <a:xfrm>
                      <a:off x="0" y="0"/>
                      <a:ext cx="5760720" cy="4114800"/>
                    </a:xfrm>
                    <a:prstGeom prst="rect">
                      <a:avLst/>
                    </a:prstGeom>
                  </pic:spPr>
                </pic:pic>
              </a:graphicData>
            </a:graphic>
          </wp:inline>
        </w:drawing>
      </w:r>
    </w:p>
    <w:p w14:paraId="481A0CB2" w14:textId="77777777" w:rsidR="00B420F2" w:rsidRDefault="00C931AE">
      <w:r>
        <w:br w:type="page"/>
      </w:r>
    </w:p>
    <w:tbl>
      <w:tblPr>
        <w:tblStyle w:val="TableGridPHPDOCX"/>
        <w:tblOverlap w:val="never"/>
        <w:tblW w:w="10800" w:type="dxa"/>
        <w:tblLook w:val="04A0" w:firstRow="1" w:lastRow="0" w:firstColumn="1" w:lastColumn="0" w:noHBand="0" w:noVBand="1"/>
      </w:tblPr>
      <w:tblGrid>
        <w:gridCol w:w="10800"/>
      </w:tblGrid>
      <w:tr w:rsidR="00B420F2" w14:paraId="531DA044" w14:textId="77777777">
        <w:tc>
          <w:tcPr>
            <w:tcW w:w="7200" w:type="dxa"/>
            <w:shd w:val="clear" w:color="auto" w:fill="C4D82D"/>
          </w:tcPr>
          <w:p w14:paraId="2A65DF22" w14:textId="77777777" w:rsidR="00B420F2" w:rsidRDefault="00C931AE">
            <w:pPr>
              <w:jc w:val="center"/>
              <w:rPr>
                <w:b/>
                <w:bCs/>
                <w:color w:val="000000"/>
                <w:sz w:val="20"/>
                <w:szCs w:val="20"/>
              </w:rPr>
            </w:pPr>
            <w:r>
              <w:rPr>
                <w:b/>
                <w:bCs/>
                <w:color w:val="000000"/>
                <w:sz w:val="20"/>
                <w:szCs w:val="20"/>
              </w:rPr>
              <w:lastRenderedPageBreak/>
              <w:t>Google Llc</w:t>
            </w:r>
          </w:p>
          <w:p w14:paraId="212DF1D2" w14:textId="77777777" w:rsidR="00B420F2" w:rsidRDefault="00C931AE">
            <w:pPr>
              <w:jc w:val="center"/>
              <w:rPr>
                <w:b/>
                <w:bCs/>
                <w:color w:val="000000"/>
                <w:sz w:val="20"/>
                <w:szCs w:val="20"/>
              </w:rPr>
            </w:pPr>
            <w:r>
              <w:rPr>
                <w:b/>
                <w:bCs/>
                <w:color w:val="000000"/>
                <w:sz w:val="20"/>
                <w:szCs w:val="20"/>
              </w:rPr>
              <w:t>Google Llc 401(K) Savings Plan</w:t>
            </w:r>
          </w:p>
          <w:p w14:paraId="7AA2D04A" w14:textId="77777777" w:rsidR="00B420F2" w:rsidRDefault="00C931AE">
            <w:pPr>
              <w:jc w:val="center"/>
              <w:rPr>
                <w:b/>
                <w:bCs/>
                <w:color w:val="000000"/>
                <w:sz w:val="20"/>
                <w:szCs w:val="20"/>
              </w:rPr>
            </w:pPr>
            <w:r>
              <w:rPr>
                <w:b/>
                <w:bCs/>
                <w:color w:val="000000"/>
                <w:sz w:val="20"/>
                <w:szCs w:val="20"/>
              </w:rPr>
              <w:t>Detail Operational Benchmark Results</w:t>
            </w:r>
          </w:p>
        </w:tc>
      </w:tr>
    </w:tbl>
    <w:p w14:paraId="329A346F"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760"/>
        <w:gridCol w:w="5040"/>
      </w:tblGrid>
      <w:tr w:rsidR="00B420F2" w14:paraId="05DBD71D" w14:textId="77777777">
        <w:tc>
          <w:tcPr>
            <w:tcW w:w="5760" w:type="dxa"/>
            <w:tcBorders>
              <w:top w:val="none" w:sz="6" w:space="0" w:color="000000"/>
              <w:left w:val="none" w:sz="6" w:space="0" w:color="000000"/>
              <w:bottom w:val="none" w:sz="6" w:space="0" w:color="000000"/>
              <w:right w:val="none" w:sz="6" w:space="0" w:color="000000"/>
            </w:tcBorders>
            <w:tcMar>
              <w:top w:w="4" w:type="dxa"/>
              <w:left w:w="4" w:type="dxa"/>
              <w:bottom w:w="4" w:type="dxa"/>
              <w:right w:w="4" w:type="dxa"/>
            </w:tcMar>
          </w:tcPr>
          <w:p w14:paraId="60DA5718" w14:textId="77777777" w:rsidR="00B420F2" w:rsidRDefault="00C931AE">
            <w:pPr>
              <w:rPr>
                <w:b/>
                <w:bCs/>
                <w:color w:val="3232FF"/>
                <w:sz w:val="24"/>
                <w:szCs w:val="24"/>
              </w:rPr>
            </w:pPr>
            <w:r>
              <w:rPr>
                <w:b/>
                <w:bCs/>
                <w:color w:val="3232FF"/>
                <w:sz w:val="24"/>
                <w:szCs w:val="24"/>
              </w:rPr>
              <w:t>Average Participant Contribution</w:t>
            </w:r>
          </w:p>
          <w:p w14:paraId="334C2C94" w14:textId="77777777" w:rsidR="00B420F2" w:rsidRDefault="00B420F2"/>
          <w:p w14:paraId="0C570315" w14:textId="77777777" w:rsidR="00B420F2" w:rsidRDefault="00C931AE">
            <w:pPr>
              <w:rPr>
                <w:sz w:val="18"/>
                <w:szCs w:val="18"/>
              </w:rPr>
            </w:pPr>
            <w:r>
              <w:rPr>
                <w:sz w:val="18"/>
                <w:szCs w:val="18"/>
              </w:rPr>
              <w:t>Average Participant Contribution is determined by dividing the total participant contributions by the total active participants in the plan at the end of the year. A red gauge means that the plan rates unfavorably (low percentile score) and a green gauge m</w:t>
            </w:r>
            <w:r>
              <w:rPr>
                <w:sz w:val="18"/>
                <w:szCs w:val="18"/>
              </w:rPr>
              <w:t>eans that the plan rates favorably (high percentile score) versus the peer group.</w:t>
            </w:r>
          </w:p>
          <w:p w14:paraId="011E03E4" w14:textId="77777777" w:rsidR="00B420F2" w:rsidRDefault="00B420F2"/>
          <w:p w14:paraId="7787EB56" w14:textId="77777777" w:rsidR="00B420F2" w:rsidRDefault="00C931AE">
            <w:pPr>
              <w:rPr>
                <w:i/>
                <w:iCs/>
                <w:sz w:val="18"/>
                <w:szCs w:val="18"/>
              </w:rPr>
            </w:pPr>
            <w:r>
              <w:rPr>
                <w:i/>
                <w:iCs/>
                <w:sz w:val="18"/>
                <w:szCs w:val="18"/>
              </w:rPr>
              <w:t>A high percentile score generally indicates employee satisfaction with the retirement plan.</w:t>
            </w:r>
          </w:p>
          <w:p w14:paraId="345C3436" w14:textId="77777777" w:rsidR="00B420F2" w:rsidRDefault="00B420F2"/>
        </w:tc>
        <w:tc>
          <w:tcPr>
            <w:tcW w:w="5040" w:type="dxa"/>
            <w:tcBorders>
              <w:top w:val="none" w:sz="6" w:space="0" w:color="000000"/>
              <w:left w:val="none" w:sz="6" w:space="0" w:color="000000"/>
              <w:bottom w:val="none" w:sz="6" w:space="0" w:color="000000"/>
              <w:right w:val="none" w:sz="6" w:space="0" w:color="000000"/>
            </w:tcBorders>
          </w:tcPr>
          <w:p w14:paraId="504BC545" w14:textId="77777777" w:rsidR="00B420F2" w:rsidRDefault="00C931AE">
            <w:pPr>
              <w:jc w:val="center"/>
            </w:pPr>
            <w:r>
              <w:rPr>
                <w:noProof/>
              </w:rPr>
              <w:drawing>
                <wp:inline distT="0" distB="0" distL="0" distR="0" wp14:anchorId="73F7E7C8" wp14:editId="0883E49D">
                  <wp:extent cx="2743200" cy="1959429"/>
                  <wp:effectExtent l="0" t="0" r="0" b="0"/>
                  <wp:docPr id="995940189" name="Picture 1" descr="/tmp/1f3c3ee8111332a0aad0c117a32d25f9_b39dd_20191015201155P040087730647001_ParticipantContribPerParticip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ParticipantContribPerParticipant.png"/>
                          <pic:cNvPicPr/>
                        </pic:nvPicPr>
                        <pic:blipFill>
                          <a:blip r:embed="rId13" cstate="print"/>
                          <a:stretch>
                            <a:fillRect/>
                          </a:stretch>
                        </pic:blipFill>
                        <pic:spPr>
                          <a:xfrm>
                            <a:off x="0" y="0"/>
                            <a:ext cx="2743200" cy="1959429"/>
                          </a:xfrm>
                          <a:prstGeom prst="rect">
                            <a:avLst/>
                          </a:prstGeom>
                        </pic:spPr>
                      </pic:pic>
                    </a:graphicData>
                  </a:graphic>
                </wp:inline>
              </w:drawing>
            </w:r>
          </w:p>
        </w:tc>
      </w:tr>
    </w:tbl>
    <w:p w14:paraId="5DD82E5A" w14:textId="77777777" w:rsidR="00B420F2" w:rsidRDefault="00B420F2"/>
    <w:p w14:paraId="49772316" w14:textId="77777777" w:rsidR="00B420F2" w:rsidRDefault="00C931AE">
      <w:pPr>
        <w:jc w:val="center"/>
        <w:rPr>
          <w:sz w:val="18"/>
          <w:szCs w:val="18"/>
        </w:rPr>
      </w:pPr>
      <w:r>
        <w:rPr>
          <w:sz w:val="18"/>
          <w:szCs w:val="18"/>
        </w:rPr>
        <w:t>--------------------------------------------------------------------------------------------------------------------------</w:t>
      </w:r>
    </w:p>
    <w:tbl>
      <w:tblPr>
        <w:tblStyle w:val="TableGridPHPDOCX"/>
        <w:tblOverlap w:val="never"/>
        <w:tblW w:w="10800" w:type="dxa"/>
        <w:tblLayout w:type="fixed"/>
        <w:tblLook w:val="04A0" w:firstRow="1" w:lastRow="0" w:firstColumn="1" w:lastColumn="0" w:noHBand="0" w:noVBand="1"/>
      </w:tblPr>
      <w:tblGrid>
        <w:gridCol w:w="5760"/>
        <w:gridCol w:w="5040"/>
      </w:tblGrid>
      <w:tr w:rsidR="00B420F2" w14:paraId="2B6B5F70" w14:textId="77777777">
        <w:tc>
          <w:tcPr>
            <w:tcW w:w="5760" w:type="dxa"/>
            <w:tcBorders>
              <w:top w:val="none" w:sz="6" w:space="0" w:color="000000"/>
              <w:left w:val="none" w:sz="6" w:space="0" w:color="000000"/>
              <w:bottom w:val="none" w:sz="6" w:space="0" w:color="000000"/>
              <w:right w:val="none" w:sz="6" w:space="0" w:color="000000"/>
            </w:tcBorders>
            <w:tcMar>
              <w:top w:w="4" w:type="dxa"/>
              <w:left w:w="4" w:type="dxa"/>
              <w:bottom w:w="4" w:type="dxa"/>
              <w:right w:w="4" w:type="dxa"/>
            </w:tcMar>
          </w:tcPr>
          <w:p w14:paraId="7A89EE83" w14:textId="77777777" w:rsidR="00B420F2" w:rsidRDefault="00C931AE">
            <w:pPr>
              <w:rPr>
                <w:b/>
                <w:bCs/>
                <w:color w:val="3232FF"/>
                <w:sz w:val="24"/>
                <w:szCs w:val="24"/>
              </w:rPr>
            </w:pPr>
            <w:r>
              <w:rPr>
                <w:b/>
                <w:bCs/>
                <w:color w:val="3232FF"/>
                <w:sz w:val="24"/>
                <w:szCs w:val="24"/>
              </w:rPr>
              <w:t>Average Employer Contribution</w:t>
            </w:r>
          </w:p>
          <w:p w14:paraId="18900A88" w14:textId="77777777" w:rsidR="00B420F2" w:rsidRDefault="00B420F2"/>
          <w:p w14:paraId="68F0CF75" w14:textId="77777777" w:rsidR="00B420F2" w:rsidRDefault="00C931AE">
            <w:pPr>
              <w:rPr>
                <w:sz w:val="18"/>
                <w:szCs w:val="18"/>
              </w:rPr>
            </w:pPr>
            <w:r>
              <w:rPr>
                <w:sz w:val="18"/>
                <w:szCs w:val="18"/>
              </w:rPr>
              <w:t xml:space="preserve">Average Employer Contribution is determined by dividing the total employer contributions by the total </w:t>
            </w:r>
            <w:r>
              <w:rPr>
                <w:sz w:val="18"/>
                <w:szCs w:val="18"/>
              </w:rPr>
              <w:t>active participants in the plan at the end of the year. A red gauge means that the plan rates unfavorably (low percentile score) and a green gauge means that the plan rates favorably (high percentile score) versus the peer group.</w:t>
            </w:r>
          </w:p>
          <w:p w14:paraId="7953A35A" w14:textId="77777777" w:rsidR="00B420F2" w:rsidRDefault="00B420F2"/>
          <w:p w14:paraId="18AEAA76" w14:textId="77777777" w:rsidR="00B420F2" w:rsidRDefault="00C931AE">
            <w:pPr>
              <w:rPr>
                <w:i/>
                <w:iCs/>
                <w:sz w:val="18"/>
                <w:szCs w:val="18"/>
              </w:rPr>
            </w:pPr>
            <w:r>
              <w:rPr>
                <w:i/>
                <w:iCs/>
                <w:sz w:val="18"/>
                <w:szCs w:val="18"/>
              </w:rPr>
              <w:t>A high percentile score g</w:t>
            </w:r>
            <w:r>
              <w:rPr>
                <w:i/>
                <w:iCs/>
                <w:sz w:val="18"/>
                <w:szCs w:val="18"/>
              </w:rPr>
              <w:t>enerally indicates a strong employer commitment to the retirement security of its employees.</w:t>
            </w:r>
          </w:p>
          <w:p w14:paraId="7FCE2098" w14:textId="77777777" w:rsidR="00B420F2" w:rsidRDefault="00B420F2"/>
        </w:tc>
        <w:tc>
          <w:tcPr>
            <w:tcW w:w="5040" w:type="dxa"/>
            <w:tcBorders>
              <w:top w:val="none" w:sz="6" w:space="0" w:color="000000"/>
              <w:left w:val="none" w:sz="6" w:space="0" w:color="000000"/>
              <w:bottom w:val="none" w:sz="6" w:space="0" w:color="000000"/>
              <w:right w:val="none" w:sz="6" w:space="0" w:color="000000"/>
            </w:tcBorders>
          </w:tcPr>
          <w:p w14:paraId="21C55C1C" w14:textId="77777777" w:rsidR="00B420F2" w:rsidRDefault="00C931AE">
            <w:pPr>
              <w:jc w:val="center"/>
            </w:pPr>
            <w:r>
              <w:rPr>
                <w:noProof/>
              </w:rPr>
              <w:drawing>
                <wp:inline distT="0" distB="0" distL="0" distR="0" wp14:anchorId="46E5FF60" wp14:editId="0082E364">
                  <wp:extent cx="2743200" cy="1959429"/>
                  <wp:effectExtent l="0" t="0" r="0" b="0"/>
                  <wp:docPr id="276057410" name="Picture 1" descr="/tmp/1f3c3ee8111332a0aad0c117a32d25f9_b39dd_20191015201155P040087730647001_EmployerContribPerParticip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EmployerContribPerParticipant.png"/>
                          <pic:cNvPicPr/>
                        </pic:nvPicPr>
                        <pic:blipFill>
                          <a:blip r:embed="rId14" cstate="print"/>
                          <a:stretch>
                            <a:fillRect/>
                          </a:stretch>
                        </pic:blipFill>
                        <pic:spPr>
                          <a:xfrm>
                            <a:off x="0" y="0"/>
                            <a:ext cx="2743200" cy="1959429"/>
                          </a:xfrm>
                          <a:prstGeom prst="rect">
                            <a:avLst/>
                          </a:prstGeom>
                        </pic:spPr>
                      </pic:pic>
                    </a:graphicData>
                  </a:graphic>
                </wp:inline>
              </w:drawing>
            </w:r>
          </w:p>
        </w:tc>
      </w:tr>
    </w:tbl>
    <w:p w14:paraId="5139072E" w14:textId="77777777" w:rsidR="00B420F2" w:rsidRDefault="00B420F2"/>
    <w:p w14:paraId="13D55218" w14:textId="77777777" w:rsidR="00B420F2" w:rsidRDefault="00C931AE">
      <w:pPr>
        <w:jc w:val="center"/>
        <w:rPr>
          <w:sz w:val="18"/>
          <w:szCs w:val="18"/>
        </w:rPr>
      </w:pPr>
      <w:r>
        <w:rPr>
          <w:sz w:val="18"/>
          <w:szCs w:val="18"/>
        </w:rPr>
        <w:t>--------------------------------------------------------------------------------------------------------------------------</w:t>
      </w:r>
    </w:p>
    <w:tbl>
      <w:tblPr>
        <w:tblStyle w:val="TableGridPHPDOCX"/>
        <w:tblOverlap w:val="never"/>
        <w:tblW w:w="10800" w:type="dxa"/>
        <w:tblLayout w:type="fixed"/>
        <w:tblLook w:val="04A0" w:firstRow="1" w:lastRow="0" w:firstColumn="1" w:lastColumn="0" w:noHBand="0" w:noVBand="1"/>
      </w:tblPr>
      <w:tblGrid>
        <w:gridCol w:w="5760"/>
        <w:gridCol w:w="5040"/>
      </w:tblGrid>
      <w:tr w:rsidR="00B420F2" w14:paraId="240695F6" w14:textId="77777777">
        <w:tc>
          <w:tcPr>
            <w:tcW w:w="5760" w:type="dxa"/>
            <w:tcBorders>
              <w:top w:val="none" w:sz="6" w:space="0" w:color="000000"/>
              <w:left w:val="none" w:sz="6" w:space="0" w:color="000000"/>
              <w:bottom w:val="none" w:sz="6" w:space="0" w:color="000000"/>
              <w:right w:val="none" w:sz="6" w:space="0" w:color="000000"/>
            </w:tcBorders>
            <w:tcMar>
              <w:top w:w="4" w:type="dxa"/>
              <w:left w:w="4" w:type="dxa"/>
              <w:bottom w:w="4" w:type="dxa"/>
              <w:right w:w="4" w:type="dxa"/>
            </w:tcMar>
          </w:tcPr>
          <w:p w14:paraId="79BB2926" w14:textId="77777777" w:rsidR="00B420F2" w:rsidRDefault="00C931AE">
            <w:pPr>
              <w:rPr>
                <w:b/>
                <w:bCs/>
                <w:color w:val="3232FF"/>
                <w:sz w:val="24"/>
                <w:szCs w:val="24"/>
              </w:rPr>
            </w:pPr>
            <w:r>
              <w:rPr>
                <w:b/>
                <w:bCs/>
                <w:color w:val="3232FF"/>
                <w:sz w:val="24"/>
                <w:szCs w:val="24"/>
              </w:rPr>
              <w:t>Participation Rate</w:t>
            </w:r>
          </w:p>
          <w:p w14:paraId="1C268D1E" w14:textId="77777777" w:rsidR="00B420F2" w:rsidRDefault="00B420F2"/>
          <w:p w14:paraId="0E008A8C" w14:textId="77777777" w:rsidR="00B420F2" w:rsidRDefault="00C931AE">
            <w:pPr>
              <w:rPr>
                <w:sz w:val="18"/>
                <w:szCs w:val="18"/>
              </w:rPr>
            </w:pPr>
            <w:r>
              <w:rPr>
                <w:sz w:val="18"/>
                <w:szCs w:val="18"/>
              </w:rPr>
              <w:t xml:space="preserve">Participation Rate is determined by dividing the active participants with an account balance by the total active </w:t>
            </w:r>
            <w:r>
              <w:rPr>
                <w:sz w:val="18"/>
                <w:szCs w:val="18"/>
              </w:rPr>
              <w:t>participants in the plan at the end of the year. A red gauge means that the plan rates unfavorably (low percentile score) and a green gauge means that the plan rates favorably (high percentile score) versus the peer group.</w:t>
            </w:r>
          </w:p>
          <w:p w14:paraId="45CFDDBF" w14:textId="77777777" w:rsidR="00B420F2" w:rsidRDefault="00B420F2"/>
          <w:p w14:paraId="527ACDC4" w14:textId="77777777" w:rsidR="00B420F2" w:rsidRDefault="00C931AE">
            <w:pPr>
              <w:rPr>
                <w:i/>
                <w:iCs/>
                <w:sz w:val="18"/>
                <w:szCs w:val="18"/>
              </w:rPr>
            </w:pPr>
            <w:r>
              <w:rPr>
                <w:i/>
                <w:iCs/>
                <w:sz w:val="18"/>
                <w:szCs w:val="18"/>
              </w:rPr>
              <w:t>A high percentile score generall</w:t>
            </w:r>
            <w:r>
              <w:rPr>
                <w:i/>
                <w:iCs/>
                <w:sz w:val="18"/>
                <w:szCs w:val="18"/>
              </w:rPr>
              <w:t>y indicates employee satisfaction with the retirement plan.</w:t>
            </w:r>
          </w:p>
          <w:p w14:paraId="4C34A8D3" w14:textId="77777777" w:rsidR="00B420F2" w:rsidRDefault="00B420F2"/>
        </w:tc>
        <w:tc>
          <w:tcPr>
            <w:tcW w:w="5040" w:type="dxa"/>
            <w:tcBorders>
              <w:top w:val="none" w:sz="6" w:space="0" w:color="000000"/>
              <w:left w:val="none" w:sz="6" w:space="0" w:color="000000"/>
              <w:bottom w:val="none" w:sz="6" w:space="0" w:color="000000"/>
              <w:right w:val="none" w:sz="6" w:space="0" w:color="000000"/>
            </w:tcBorders>
          </w:tcPr>
          <w:p w14:paraId="1B3D9194" w14:textId="77777777" w:rsidR="00B420F2" w:rsidRDefault="00C931AE">
            <w:pPr>
              <w:jc w:val="center"/>
            </w:pPr>
            <w:r>
              <w:rPr>
                <w:noProof/>
              </w:rPr>
              <w:drawing>
                <wp:inline distT="0" distB="0" distL="0" distR="0" wp14:anchorId="385A1AD1" wp14:editId="73C39333">
                  <wp:extent cx="2743200" cy="1959429"/>
                  <wp:effectExtent l="0" t="0" r="0" b="0"/>
                  <wp:docPr id="646451015" name="Picture 1" descr="/tmp/1f3c3ee8111332a0aad0c117a32d25f9_b39dd_20191015201155P040087730647001_Participation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ParticipationRate.png"/>
                          <pic:cNvPicPr/>
                        </pic:nvPicPr>
                        <pic:blipFill>
                          <a:blip r:embed="rId15" cstate="print"/>
                          <a:stretch>
                            <a:fillRect/>
                          </a:stretch>
                        </pic:blipFill>
                        <pic:spPr>
                          <a:xfrm>
                            <a:off x="0" y="0"/>
                            <a:ext cx="2743200" cy="1959429"/>
                          </a:xfrm>
                          <a:prstGeom prst="rect">
                            <a:avLst/>
                          </a:prstGeom>
                        </pic:spPr>
                      </pic:pic>
                    </a:graphicData>
                  </a:graphic>
                </wp:inline>
              </w:drawing>
            </w:r>
          </w:p>
        </w:tc>
      </w:tr>
    </w:tbl>
    <w:p w14:paraId="2BB3C4E0" w14:textId="77777777" w:rsidR="00B420F2" w:rsidRDefault="00B420F2"/>
    <w:p w14:paraId="2A949C4B" w14:textId="77777777" w:rsidR="00B420F2" w:rsidRDefault="00C931AE">
      <w:pPr>
        <w:jc w:val="center"/>
        <w:rPr>
          <w:sz w:val="18"/>
          <w:szCs w:val="18"/>
        </w:rPr>
      </w:pPr>
      <w:r>
        <w:rPr>
          <w:sz w:val="18"/>
          <w:szCs w:val="18"/>
        </w:rPr>
        <w:t>--------------------------------------------------------------------------------------------------------------------------</w:t>
      </w:r>
    </w:p>
    <w:p w14:paraId="223CB7B3" w14:textId="77777777" w:rsidR="00B420F2" w:rsidRDefault="00C931AE">
      <w:r>
        <w:br w:type="page"/>
      </w:r>
    </w:p>
    <w:tbl>
      <w:tblPr>
        <w:tblStyle w:val="TableGridPHPDOCX"/>
        <w:tblOverlap w:val="never"/>
        <w:tblW w:w="10800" w:type="dxa"/>
        <w:tblLook w:val="04A0" w:firstRow="1" w:lastRow="0" w:firstColumn="1" w:lastColumn="0" w:noHBand="0" w:noVBand="1"/>
      </w:tblPr>
      <w:tblGrid>
        <w:gridCol w:w="10800"/>
      </w:tblGrid>
      <w:tr w:rsidR="00B420F2" w14:paraId="14AD8D93" w14:textId="77777777">
        <w:tc>
          <w:tcPr>
            <w:tcW w:w="7200" w:type="dxa"/>
            <w:shd w:val="clear" w:color="auto" w:fill="C4D82D"/>
          </w:tcPr>
          <w:p w14:paraId="0E600853" w14:textId="77777777" w:rsidR="00B420F2" w:rsidRDefault="00C931AE">
            <w:pPr>
              <w:jc w:val="center"/>
              <w:rPr>
                <w:b/>
                <w:bCs/>
                <w:color w:val="000000"/>
                <w:sz w:val="20"/>
                <w:szCs w:val="20"/>
              </w:rPr>
            </w:pPr>
            <w:r>
              <w:rPr>
                <w:b/>
                <w:bCs/>
                <w:color w:val="000000"/>
                <w:sz w:val="20"/>
                <w:szCs w:val="20"/>
              </w:rPr>
              <w:lastRenderedPageBreak/>
              <w:t>Google Llc</w:t>
            </w:r>
          </w:p>
          <w:p w14:paraId="152C17C5" w14:textId="77777777" w:rsidR="00B420F2" w:rsidRDefault="00C931AE">
            <w:pPr>
              <w:jc w:val="center"/>
              <w:rPr>
                <w:b/>
                <w:bCs/>
                <w:color w:val="000000"/>
                <w:sz w:val="20"/>
                <w:szCs w:val="20"/>
              </w:rPr>
            </w:pPr>
            <w:r>
              <w:rPr>
                <w:b/>
                <w:bCs/>
                <w:color w:val="000000"/>
                <w:sz w:val="20"/>
                <w:szCs w:val="20"/>
              </w:rPr>
              <w:t>Google Llc 401(K) Savings Plan</w:t>
            </w:r>
          </w:p>
          <w:p w14:paraId="57989C35" w14:textId="77777777" w:rsidR="00B420F2" w:rsidRDefault="00C931AE">
            <w:pPr>
              <w:jc w:val="center"/>
              <w:rPr>
                <w:b/>
                <w:bCs/>
                <w:color w:val="000000"/>
                <w:sz w:val="20"/>
                <w:szCs w:val="20"/>
              </w:rPr>
            </w:pPr>
            <w:r>
              <w:rPr>
                <w:b/>
                <w:bCs/>
                <w:color w:val="000000"/>
                <w:sz w:val="20"/>
                <w:szCs w:val="20"/>
              </w:rPr>
              <w:t>Detail Operational Benchmark Results</w:t>
            </w:r>
          </w:p>
        </w:tc>
      </w:tr>
    </w:tbl>
    <w:p w14:paraId="611CFE97"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760"/>
        <w:gridCol w:w="5040"/>
      </w:tblGrid>
      <w:tr w:rsidR="00B420F2" w14:paraId="13235A18" w14:textId="77777777">
        <w:tc>
          <w:tcPr>
            <w:tcW w:w="5760" w:type="dxa"/>
            <w:tcBorders>
              <w:top w:val="none" w:sz="6" w:space="0" w:color="000000"/>
              <w:left w:val="none" w:sz="6" w:space="0" w:color="000000"/>
              <w:bottom w:val="none" w:sz="6" w:space="0" w:color="000000"/>
              <w:right w:val="none" w:sz="6" w:space="0" w:color="000000"/>
            </w:tcBorders>
            <w:tcMar>
              <w:top w:w="4" w:type="dxa"/>
              <w:left w:w="4" w:type="dxa"/>
              <w:bottom w:w="4" w:type="dxa"/>
              <w:right w:w="4" w:type="dxa"/>
            </w:tcMar>
          </w:tcPr>
          <w:p w14:paraId="305FDDEB" w14:textId="77777777" w:rsidR="00B420F2" w:rsidRDefault="00C931AE">
            <w:pPr>
              <w:rPr>
                <w:b/>
                <w:bCs/>
                <w:color w:val="3232FF"/>
                <w:sz w:val="24"/>
                <w:szCs w:val="24"/>
              </w:rPr>
            </w:pPr>
            <w:r>
              <w:rPr>
                <w:b/>
                <w:bCs/>
                <w:color w:val="3232FF"/>
                <w:sz w:val="24"/>
                <w:szCs w:val="24"/>
              </w:rPr>
              <w:t>Average Account Balance</w:t>
            </w:r>
          </w:p>
          <w:p w14:paraId="68D14BE6" w14:textId="77777777" w:rsidR="00B420F2" w:rsidRDefault="00B420F2"/>
          <w:p w14:paraId="405993FE" w14:textId="77777777" w:rsidR="00B420F2" w:rsidRDefault="00C931AE">
            <w:pPr>
              <w:rPr>
                <w:sz w:val="18"/>
                <w:szCs w:val="18"/>
              </w:rPr>
            </w:pPr>
            <w:r>
              <w:rPr>
                <w:sz w:val="18"/>
                <w:szCs w:val="18"/>
              </w:rPr>
              <w:t>Average Account Balance i</w:t>
            </w:r>
            <w:r>
              <w:rPr>
                <w:sz w:val="18"/>
                <w:szCs w:val="18"/>
              </w:rPr>
              <w:t xml:space="preserve">s determined by dividing the total assets in the plan by the total active participants in the plan at the end of the year. A red gauge means that the plan rates unfavorably (low percentile score) and a green gauge means that the plan rates favorably (high </w:t>
            </w:r>
            <w:r>
              <w:rPr>
                <w:sz w:val="18"/>
                <w:szCs w:val="18"/>
              </w:rPr>
              <w:t>percentile score) versus the peer group.</w:t>
            </w:r>
          </w:p>
          <w:p w14:paraId="478F3E28" w14:textId="77777777" w:rsidR="00B420F2" w:rsidRDefault="00B420F2"/>
          <w:p w14:paraId="5D5057ED" w14:textId="77777777" w:rsidR="00B420F2" w:rsidRDefault="00C931AE">
            <w:pPr>
              <w:rPr>
                <w:i/>
                <w:iCs/>
                <w:sz w:val="18"/>
                <w:szCs w:val="18"/>
              </w:rPr>
            </w:pPr>
            <w:r>
              <w:rPr>
                <w:i/>
                <w:iCs/>
                <w:sz w:val="18"/>
                <w:szCs w:val="18"/>
              </w:rPr>
              <w:t>A high percentile score generally indicates a high participation rate and/or employee longevity.</w:t>
            </w:r>
          </w:p>
          <w:p w14:paraId="6E49FF4E" w14:textId="77777777" w:rsidR="00B420F2" w:rsidRDefault="00B420F2"/>
        </w:tc>
        <w:tc>
          <w:tcPr>
            <w:tcW w:w="5040" w:type="dxa"/>
            <w:tcBorders>
              <w:top w:val="none" w:sz="6" w:space="0" w:color="000000"/>
              <w:left w:val="none" w:sz="6" w:space="0" w:color="000000"/>
              <w:bottom w:val="none" w:sz="6" w:space="0" w:color="000000"/>
              <w:right w:val="none" w:sz="6" w:space="0" w:color="000000"/>
            </w:tcBorders>
          </w:tcPr>
          <w:p w14:paraId="27D435DE" w14:textId="77777777" w:rsidR="00B420F2" w:rsidRDefault="00C931AE">
            <w:pPr>
              <w:jc w:val="center"/>
            </w:pPr>
            <w:r>
              <w:rPr>
                <w:noProof/>
              </w:rPr>
              <w:drawing>
                <wp:inline distT="0" distB="0" distL="0" distR="0" wp14:anchorId="30F2F793" wp14:editId="7410998B">
                  <wp:extent cx="2743200" cy="1959429"/>
                  <wp:effectExtent l="0" t="0" r="0" b="0"/>
                  <wp:docPr id="208133970" name="Picture 1" descr="/tmp/1f3c3ee8111332a0aad0c117a32d25f9_b39dd_20191015201155P040087730647001_TotAssetsPerParticip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TotAssetsPerParticipant.png"/>
                          <pic:cNvPicPr/>
                        </pic:nvPicPr>
                        <pic:blipFill>
                          <a:blip r:embed="rId16" cstate="print"/>
                          <a:stretch>
                            <a:fillRect/>
                          </a:stretch>
                        </pic:blipFill>
                        <pic:spPr>
                          <a:xfrm>
                            <a:off x="0" y="0"/>
                            <a:ext cx="2743200" cy="1959429"/>
                          </a:xfrm>
                          <a:prstGeom prst="rect">
                            <a:avLst/>
                          </a:prstGeom>
                        </pic:spPr>
                      </pic:pic>
                    </a:graphicData>
                  </a:graphic>
                </wp:inline>
              </w:drawing>
            </w:r>
          </w:p>
        </w:tc>
      </w:tr>
    </w:tbl>
    <w:p w14:paraId="4E441965" w14:textId="77777777" w:rsidR="00B420F2" w:rsidRDefault="00B420F2"/>
    <w:p w14:paraId="258F06E4" w14:textId="77777777" w:rsidR="00B420F2" w:rsidRDefault="00C931AE">
      <w:pPr>
        <w:jc w:val="center"/>
        <w:rPr>
          <w:sz w:val="18"/>
          <w:szCs w:val="18"/>
        </w:rPr>
      </w:pPr>
      <w:r>
        <w:rPr>
          <w:sz w:val="18"/>
          <w:szCs w:val="18"/>
        </w:rPr>
        <w:t>--------------------------------------------------------------------------------------------------------------------------</w:t>
      </w:r>
    </w:p>
    <w:tbl>
      <w:tblPr>
        <w:tblStyle w:val="TableGridPHPDOCX"/>
        <w:tblOverlap w:val="never"/>
        <w:tblW w:w="10800" w:type="dxa"/>
        <w:tblLayout w:type="fixed"/>
        <w:tblLook w:val="04A0" w:firstRow="1" w:lastRow="0" w:firstColumn="1" w:lastColumn="0" w:noHBand="0" w:noVBand="1"/>
      </w:tblPr>
      <w:tblGrid>
        <w:gridCol w:w="5760"/>
        <w:gridCol w:w="5040"/>
      </w:tblGrid>
      <w:tr w:rsidR="00B420F2" w14:paraId="18F65693" w14:textId="77777777">
        <w:tc>
          <w:tcPr>
            <w:tcW w:w="5760" w:type="dxa"/>
            <w:tcBorders>
              <w:top w:val="none" w:sz="6" w:space="0" w:color="000000"/>
              <w:left w:val="none" w:sz="6" w:space="0" w:color="000000"/>
              <w:bottom w:val="none" w:sz="6" w:space="0" w:color="000000"/>
              <w:right w:val="none" w:sz="6" w:space="0" w:color="000000"/>
            </w:tcBorders>
            <w:tcMar>
              <w:top w:w="4" w:type="dxa"/>
              <w:left w:w="4" w:type="dxa"/>
              <w:bottom w:w="4" w:type="dxa"/>
              <w:right w:w="4" w:type="dxa"/>
            </w:tcMar>
          </w:tcPr>
          <w:p w14:paraId="7B083270" w14:textId="77777777" w:rsidR="00B420F2" w:rsidRDefault="00C931AE">
            <w:pPr>
              <w:rPr>
                <w:b/>
                <w:bCs/>
                <w:color w:val="3232FF"/>
                <w:sz w:val="24"/>
                <w:szCs w:val="24"/>
              </w:rPr>
            </w:pPr>
            <w:r>
              <w:rPr>
                <w:b/>
                <w:bCs/>
                <w:color w:val="3232FF"/>
                <w:sz w:val="24"/>
                <w:szCs w:val="24"/>
              </w:rPr>
              <w:t>Average Benefit Distributions/Participant</w:t>
            </w:r>
          </w:p>
          <w:p w14:paraId="0483FC2F" w14:textId="77777777" w:rsidR="00B420F2" w:rsidRDefault="00B420F2"/>
          <w:p w14:paraId="566E568A" w14:textId="77777777" w:rsidR="00B420F2" w:rsidRDefault="00C931AE">
            <w:pPr>
              <w:rPr>
                <w:sz w:val="18"/>
                <w:szCs w:val="18"/>
              </w:rPr>
            </w:pPr>
            <w:r>
              <w:rPr>
                <w:sz w:val="18"/>
                <w:szCs w:val="18"/>
              </w:rPr>
              <w:t>Average Benefit Distributions per Participant is determined by dividing the total amount p</w:t>
            </w:r>
            <w:r>
              <w:rPr>
                <w:sz w:val="18"/>
                <w:szCs w:val="18"/>
              </w:rPr>
              <w:t>aid as benefits by the plan by the total active participants in the plan at the end of the year. A red gauge means that the plan rates unfavorably (high percentile score) and a green gauge means that the plan rates favorably (low percentile score) versus t</w:t>
            </w:r>
            <w:r>
              <w:rPr>
                <w:sz w:val="18"/>
                <w:szCs w:val="18"/>
              </w:rPr>
              <w:t>he peer group.</w:t>
            </w:r>
          </w:p>
          <w:p w14:paraId="61FAC033" w14:textId="77777777" w:rsidR="00B420F2" w:rsidRDefault="00B420F2"/>
          <w:p w14:paraId="6BAC5D16" w14:textId="77777777" w:rsidR="00B420F2" w:rsidRDefault="00C931AE">
            <w:pPr>
              <w:rPr>
                <w:i/>
                <w:iCs/>
                <w:sz w:val="18"/>
                <w:szCs w:val="18"/>
              </w:rPr>
            </w:pPr>
            <w:r>
              <w:rPr>
                <w:i/>
                <w:iCs/>
                <w:sz w:val="18"/>
                <w:szCs w:val="18"/>
              </w:rPr>
              <w:t>A high percentile score generally indicates a distribution of a large balance and/or high employee turnover.</w:t>
            </w:r>
          </w:p>
          <w:p w14:paraId="4E7BF8CC" w14:textId="77777777" w:rsidR="00B420F2" w:rsidRDefault="00B420F2"/>
        </w:tc>
        <w:tc>
          <w:tcPr>
            <w:tcW w:w="5040" w:type="dxa"/>
            <w:tcBorders>
              <w:top w:val="none" w:sz="6" w:space="0" w:color="000000"/>
              <w:left w:val="none" w:sz="6" w:space="0" w:color="000000"/>
              <w:bottom w:val="none" w:sz="6" w:space="0" w:color="000000"/>
              <w:right w:val="none" w:sz="6" w:space="0" w:color="000000"/>
            </w:tcBorders>
          </w:tcPr>
          <w:p w14:paraId="050481DB" w14:textId="77777777" w:rsidR="00B420F2" w:rsidRDefault="00C931AE">
            <w:pPr>
              <w:jc w:val="center"/>
            </w:pPr>
            <w:r>
              <w:rPr>
                <w:noProof/>
              </w:rPr>
              <w:drawing>
                <wp:inline distT="0" distB="0" distL="0" distR="0" wp14:anchorId="3BDF4CDA" wp14:editId="00941BA5">
                  <wp:extent cx="2743200" cy="1959429"/>
                  <wp:effectExtent l="0" t="0" r="0" b="0"/>
                  <wp:docPr id="965216661" name="Picture 1" descr="/tmp/1f3c3ee8111332a0aad0c117a32d25f9_b39dd_20191015201155P040087730647001_TotDistribBnftAmtPer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TotDistribBnftAmtPerPart.png"/>
                          <pic:cNvPicPr/>
                        </pic:nvPicPr>
                        <pic:blipFill>
                          <a:blip r:embed="rId17" cstate="print"/>
                          <a:stretch>
                            <a:fillRect/>
                          </a:stretch>
                        </pic:blipFill>
                        <pic:spPr>
                          <a:xfrm>
                            <a:off x="0" y="0"/>
                            <a:ext cx="2743200" cy="1959429"/>
                          </a:xfrm>
                          <a:prstGeom prst="rect">
                            <a:avLst/>
                          </a:prstGeom>
                        </pic:spPr>
                      </pic:pic>
                    </a:graphicData>
                  </a:graphic>
                </wp:inline>
              </w:drawing>
            </w:r>
          </w:p>
        </w:tc>
      </w:tr>
    </w:tbl>
    <w:p w14:paraId="3D63F8BB" w14:textId="77777777" w:rsidR="00B420F2" w:rsidRDefault="00B420F2"/>
    <w:p w14:paraId="3F49E1AB" w14:textId="77777777" w:rsidR="00B420F2" w:rsidRDefault="00C931AE">
      <w:pPr>
        <w:jc w:val="center"/>
        <w:rPr>
          <w:sz w:val="18"/>
          <w:szCs w:val="18"/>
        </w:rPr>
      </w:pPr>
      <w:r>
        <w:rPr>
          <w:sz w:val="18"/>
          <w:szCs w:val="18"/>
        </w:rPr>
        <w:t>--------------------------------------------------------------------------------------------------------------------------</w:t>
      </w:r>
    </w:p>
    <w:tbl>
      <w:tblPr>
        <w:tblStyle w:val="TableGridPHPDOCX"/>
        <w:tblOverlap w:val="never"/>
        <w:tblW w:w="10800" w:type="dxa"/>
        <w:tblLayout w:type="fixed"/>
        <w:tblLook w:val="04A0" w:firstRow="1" w:lastRow="0" w:firstColumn="1" w:lastColumn="0" w:noHBand="0" w:noVBand="1"/>
      </w:tblPr>
      <w:tblGrid>
        <w:gridCol w:w="5760"/>
        <w:gridCol w:w="5040"/>
      </w:tblGrid>
      <w:tr w:rsidR="00B420F2" w14:paraId="2F67D997" w14:textId="77777777">
        <w:tc>
          <w:tcPr>
            <w:tcW w:w="5760" w:type="dxa"/>
            <w:tcBorders>
              <w:top w:val="none" w:sz="6" w:space="0" w:color="000000"/>
              <w:left w:val="none" w:sz="6" w:space="0" w:color="000000"/>
              <w:bottom w:val="none" w:sz="6" w:space="0" w:color="000000"/>
              <w:right w:val="none" w:sz="6" w:space="0" w:color="000000"/>
            </w:tcBorders>
            <w:tcMar>
              <w:top w:w="4" w:type="dxa"/>
              <w:left w:w="4" w:type="dxa"/>
              <w:bottom w:w="4" w:type="dxa"/>
              <w:right w:w="4" w:type="dxa"/>
            </w:tcMar>
          </w:tcPr>
          <w:p w14:paraId="10633EC2" w14:textId="77777777" w:rsidR="00B420F2" w:rsidRDefault="00C931AE">
            <w:pPr>
              <w:rPr>
                <w:b/>
                <w:bCs/>
                <w:color w:val="3232FF"/>
                <w:sz w:val="24"/>
                <w:szCs w:val="24"/>
              </w:rPr>
            </w:pPr>
            <w:r>
              <w:rPr>
                <w:b/>
                <w:bCs/>
                <w:color w:val="3232FF"/>
                <w:sz w:val="24"/>
                <w:szCs w:val="24"/>
              </w:rPr>
              <w:t>Cor</w:t>
            </w:r>
            <w:r>
              <w:rPr>
                <w:b/>
                <w:bCs/>
                <w:color w:val="3232FF"/>
                <w:sz w:val="24"/>
                <w:szCs w:val="24"/>
              </w:rPr>
              <w:t>rective Distributions/Participant</w:t>
            </w:r>
          </w:p>
          <w:p w14:paraId="4A6B3F97" w14:textId="77777777" w:rsidR="00B420F2" w:rsidRDefault="00B420F2"/>
          <w:p w14:paraId="0F7356A8" w14:textId="77777777" w:rsidR="00B420F2" w:rsidRDefault="00C931AE">
            <w:pPr>
              <w:rPr>
                <w:sz w:val="18"/>
                <w:szCs w:val="18"/>
              </w:rPr>
            </w:pPr>
            <w:r>
              <w:rPr>
                <w:sz w:val="18"/>
                <w:szCs w:val="18"/>
              </w:rPr>
              <w:t xml:space="preserve">Corrective Distributions per Participant is determined by dividing the total amount paid as corrective distributions by the plan by the total active participants in the plan at the end of the year. A red gauge means that </w:t>
            </w:r>
            <w:r>
              <w:rPr>
                <w:sz w:val="18"/>
                <w:szCs w:val="18"/>
              </w:rPr>
              <w:t>the plan rates unfavorably (high percentile score) and a green gauge means that the plan rates favorably (low percentile score) versus the peer group.</w:t>
            </w:r>
          </w:p>
          <w:p w14:paraId="56D0137E" w14:textId="77777777" w:rsidR="00B420F2" w:rsidRDefault="00B420F2"/>
          <w:p w14:paraId="0788A5EA" w14:textId="77777777" w:rsidR="00B420F2" w:rsidRDefault="00C931AE">
            <w:pPr>
              <w:rPr>
                <w:i/>
                <w:iCs/>
                <w:sz w:val="18"/>
                <w:szCs w:val="18"/>
              </w:rPr>
            </w:pPr>
            <w:r>
              <w:rPr>
                <w:i/>
                <w:iCs/>
                <w:sz w:val="18"/>
                <w:szCs w:val="18"/>
              </w:rPr>
              <w:t>A high percentile score generally indicates failed non-discrimination tests and/or forfeiture of partici</w:t>
            </w:r>
            <w:r>
              <w:rPr>
                <w:i/>
                <w:iCs/>
                <w:sz w:val="18"/>
                <w:szCs w:val="18"/>
              </w:rPr>
              <w:t>pant loans.</w:t>
            </w:r>
          </w:p>
          <w:p w14:paraId="2051AD05" w14:textId="77777777" w:rsidR="00B420F2" w:rsidRDefault="00B420F2"/>
        </w:tc>
        <w:tc>
          <w:tcPr>
            <w:tcW w:w="5040" w:type="dxa"/>
            <w:tcBorders>
              <w:top w:val="none" w:sz="6" w:space="0" w:color="000000"/>
              <w:left w:val="none" w:sz="6" w:space="0" w:color="000000"/>
              <w:bottom w:val="none" w:sz="6" w:space="0" w:color="000000"/>
              <w:right w:val="none" w:sz="6" w:space="0" w:color="000000"/>
            </w:tcBorders>
          </w:tcPr>
          <w:p w14:paraId="78675654" w14:textId="77777777" w:rsidR="00B420F2" w:rsidRDefault="00C931AE">
            <w:pPr>
              <w:jc w:val="center"/>
            </w:pPr>
            <w:r>
              <w:rPr>
                <w:noProof/>
              </w:rPr>
              <w:drawing>
                <wp:inline distT="0" distB="0" distL="0" distR="0" wp14:anchorId="4CF53141" wp14:editId="756F59D0">
                  <wp:extent cx="2743200" cy="1959429"/>
                  <wp:effectExtent l="0" t="0" r="0" b="0"/>
                  <wp:docPr id="444894610" name="Picture 1" descr="/tmp/1f3c3ee8111332a0aad0c117a32d25f9_b39dd_20191015201155P040087730647001_CorrectiveAndDeemedDistPer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CorrectiveAndDeemedDistPerPart.png"/>
                          <pic:cNvPicPr/>
                        </pic:nvPicPr>
                        <pic:blipFill>
                          <a:blip r:embed="rId18" cstate="print"/>
                          <a:stretch>
                            <a:fillRect/>
                          </a:stretch>
                        </pic:blipFill>
                        <pic:spPr>
                          <a:xfrm>
                            <a:off x="0" y="0"/>
                            <a:ext cx="2743200" cy="1959429"/>
                          </a:xfrm>
                          <a:prstGeom prst="rect">
                            <a:avLst/>
                          </a:prstGeom>
                        </pic:spPr>
                      </pic:pic>
                    </a:graphicData>
                  </a:graphic>
                </wp:inline>
              </w:drawing>
            </w:r>
          </w:p>
        </w:tc>
      </w:tr>
    </w:tbl>
    <w:p w14:paraId="3E13401C" w14:textId="77777777" w:rsidR="00B420F2" w:rsidRDefault="00B420F2"/>
    <w:p w14:paraId="038F4C3D" w14:textId="77777777" w:rsidR="00B420F2" w:rsidRDefault="00C931AE">
      <w:pPr>
        <w:jc w:val="center"/>
        <w:rPr>
          <w:sz w:val="18"/>
          <w:szCs w:val="18"/>
        </w:rPr>
      </w:pPr>
      <w:r>
        <w:rPr>
          <w:sz w:val="18"/>
          <w:szCs w:val="18"/>
        </w:rPr>
        <w:t>--------------------------------------------------------------------------------------------------------------------------</w:t>
      </w:r>
    </w:p>
    <w:p w14:paraId="2B6C8060" w14:textId="77777777" w:rsidR="00B420F2" w:rsidRDefault="00C931AE">
      <w:r>
        <w:br w:type="page"/>
      </w:r>
    </w:p>
    <w:tbl>
      <w:tblPr>
        <w:tblStyle w:val="TableGridPHPDOCX"/>
        <w:tblOverlap w:val="never"/>
        <w:tblW w:w="10800" w:type="dxa"/>
        <w:tblLook w:val="04A0" w:firstRow="1" w:lastRow="0" w:firstColumn="1" w:lastColumn="0" w:noHBand="0" w:noVBand="1"/>
      </w:tblPr>
      <w:tblGrid>
        <w:gridCol w:w="10800"/>
      </w:tblGrid>
      <w:tr w:rsidR="00B420F2" w14:paraId="2B173060" w14:textId="77777777">
        <w:tc>
          <w:tcPr>
            <w:tcW w:w="7200" w:type="dxa"/>
            <w:shd w:val="clear" w:color="auto" w:fill="C4D82D"/>
          </w:tcPr>
          <w:p w14:paraId="7C85AFE6" w14:textId="77777777" w:rsidR="00B420F2" w:rsidRDefault="00C931AE">
            <w:pPr>
              <w:jc w:val="center"/>
              <w:rPr>
                <w:b/>
                <w:bCs/>
                <w:color w:val="000000"/>
                <w:sz w:val="20"/>
                <w:szCs w:val="20"/>
              </w:rPr>
            </w:pPr>
            <w:r>
              <w:rPr>
                <w:b/>
                <w:bCs/>
                <w:color w:val="000000"/>
                <w:sz w:val="20"/>
                <w:szCs w:val="20"/>
              </w:rPr>
              <w:lastRenderedPageBreak/>
              <w:t>Google Llc</w:t>
            </w:r>
          </w:p>
          <w:p w14:paraId="2FBA0045" w14:textId="77777777" w:rsidR="00B420F2" w:rsidRDefault="00C931AE">
            <w:pPr>
              <w:jc w:val="center"/>
              <w:rPr>
                <w:b/>
                <w:bCs/>
                <w:color w:val="000000"/>
                <w:sz w:val="20"/>
                <w:szCs w:val="20"/>
              </w:rPr>
            </w:pPr>
            <w:r>
              <w:rPr>
                <w:b/>
                <w:bCs/>
                <w:color w:val="000000"/>
                <w:sz w:val="20"/>
                <w:szCs w:val="20"/>
              </w:rPr>
              <w:t>Google Llc 401(K) Savings Plan</w:t>
            </w:r>
          </w:p>
          <w:p w14:paraId="0DA91855" w14:textId="77777777" w:rsidR="00B420F2" w:rsidRDefault="00C931AE">
            <w:pPr>
              <w:jc w:val="center"/>
              <w:rPr>
                <w:b/>
                <w:bCs/>
                <w:color w:val="000000"/>
                <w:sz w:val="20"/>
                <w:szCs w:val="20"/>
              </w:rPr>
            </w:pPr>
            <w:r>
              <w:rPr>
                <w:b/>
                <w:bCs/>
                <w:color w:val="000000"/>
                <w:sz w:val="20"/>
                <w:szCs w:val="20"/>
              </w:rPr>
              <w:t>Detail Operational Benchmark Results</w:t>
            </w:r>
          </w:p>
        </w:tc>
      </w:tr>
    </w:tbl>
    <w:p w14:paraId="33A78EE5"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760"/>
        <w:gridCol w:w="5040"/>
      </w:tblGrid>
      <w:tr w:rsidR="00B420F2" w14:paraId="386A87FB" w14:textId="77777777">
        <w:tc>
          <w:tcPr>
            <w:tcW w:w="5760" w:type="dxa"/>
            <w:tcBorders>
              <w:top w:val="none" w:sz="6" w:space="0" w:color="000000"/>
              <w:left w:val="none" w:sz="6" w:space="0" w:color="000000"/>
              <w:bottom w:val="none" w:sz="6" w:space="0" w:color="000000"/>
              <w:right w:val="none" w:sz="6" w:space="0" w:color="000000"/>
            </w:tcBorders>
            <w:tcMar>
              <w:top w:w="4" w:type="dxa"/>
              <w:left w:w="4" w:type="dxa"/>
              <w:bottom w:w="4" w:type="dxa"/>
              <w:right w:w="4" w:type="dxa"/>
            </w:tcMar>
          </w:tcPr>
          <w:p w14:paraId="3E21ADA0" w14:textId="77777777" w:rsidR="00B420F2" w:rsidRDefault="00C931AE">
            <w:pPr>
              <w:rPr>
                <w:b/>
                <w:bCs/>
                <w:color w:val="3232FF"/>
                <w:sz w:val="24"/>
                <w:szCs w:val="24"/>
              </w:rPr>
            </w:pPr>
            <w:r>
              <w:rPr>
                <w:b/>
                <w:bCs/>
                <w:color w:val="3232FF"/>
                <w:sz w:val="24"/>
                <w:szCs w:val="24"/>
              </w:rPr>
              <w:t>Percentage of Terminated Participants</w:t>
            </w:r>
          </w:p>
          <w:p w14:paraId="2D0EA313" w14:textId="77777777" w:rsidR="00B420F2" w:rsidRDefault="00B420F2"/>
          <w:p w14:paraId="2592E27A" w14:textId="77777777" w:rsidR="00B420F2" w:rsidRDefault="00C931AE">
            <w:pPr>
              <w:rPr>
                <w:sz w:val="18"/>
                <w:szCs w:val="18"/>
              </w:rPr>
            </w:pPr>
            <w:r>
              <w:rPr>
                <w:sz w:val="18"/>
                <w:szCs w:val="18"/>
              </w:rPr>
              <w:t xml:space="preserve">Percentage </w:t>
            </w:r>
            <w:r>
              <w:rPr>
                <w:sz w:val="18"/>
                <w:szCs w:val="18"/>
              </w:rPr>
              <w:t xml:space="preserve">of Terminated Participants measures the extent to which account balances in the plan are held by terminated participants ("Terminated with Balances"). The percentage is calculated by dividing the number of Terminated with Balances to the total individuals </w:t>
            </w:r>
            <w:r>
              <w:rPr>
                <w:sz w:val="18"/>
                <w:szCs w:val="18"/>
              </w:rPr>
              <w:t xml:space="preserve">with an account balance (active and terminated). </w:t>
            </w:r>
          </w:p>
          <w:p w14:paraId="0F071C3E" w14:textId="77777777" w:rsidR="00B420F2" w:rsidRDefault="00B420F2"/>
          <w:p w14:paraId="1ED339A9" w14:textId="77777777" w:rsidR="00B420F2" w:rsidRDefault="00C931AE">
            <w:pPr>
              <w:rPr>
                <w:i/>
                <w:iCs/>
                <w:sz w:val="18"/>
                <w:szCs w:val="18"/>
              </w:rPr>
            </w:pPr>
            <w:r>
              <w:rPr>
                <w:i/>
                <w:iCs/>
                <w:sz w:val="18"/>
                <w:szCs w:val="18"/>
              </w:rPr>
              <w:t>A high percentile score generally indicates a large portion of the account balances are held by terminated participants.</w:t>
            </w:r>
          </w:p>
          <w:p w14:paraId="2857D8A5" w14:textId="77777777" w:rsidR="00B420F2" w:rsidRDefault="00B420F2"/>
        </w:tc>
        <w:tc>
          <w:tcPr>
            <w:tcW w:w="5040" w:type="dxa"/>
            <w:tcBorders>
              <w:top w:val="none" w:sz="6" w:space="0" w:color="000000"/>
              <w:left w:val="none" w:sz="6" w:space="0" w:color="000000"/>
              <w:bottom w:val="none" w:sz="6" w:space="0" w:color="000000"/>
              <w:right w:val="none" w:sz="6" w:space="0" w:color="000000"/>
            </w:tcBorders>
          </w:tcPr>
          <w:p w14:paraId="4D1EFA06" w14:textId="77777777" w:rsidR="00B420F2" w:rsidRDefault="00C931AE">
            <w:pPr>
              <w:jc w:val="center"/>
            </w:pPr>
            <w:r>
              <w:rPr>
                <w:noProof/>
              </w:rPr>
              <w:drawing>
                <wp:inline distT="0" distB="0" distL="0" distR="0" wp14:anchorId="4BD565A4" wp14:editId="54A91FC4">
                  <wp:extent cx="2743200" cy="1959429"/>
                  <wp:effectExtent l="0" t="0" r="0" b="0"/>
                  <wp:docPr id="71175293" name="Picture 1" descr="/tmp/1f3c3ee8111332a0aad0c117a32d25f9_b39dd_20191015201155P040087730647001_PercentTermin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PercentTerminated.png"/>
                          <pic:cNvPicPr/>
                        </pic:nvPicPr>
                        <pic:blipFill>
                          <a:blip r:embed="rId19" cstate="print"/>
                          <a:stretch>
                            <a:fillRect/>
                          </a:stretch>
                        </pic:blipFill>
                        <pic:spPr>
                          <a:xfrm>
                            <a:off x="0" y="0"/>
                            <a:ext cx="2743200" cy="1959429"/>
                          </a:xfrm>
                          <a:prstGeom prst="rect">
                            <a:avLst/>
                          </a:prstGeom>
                        </pic:spPr>
                      </pic:pic>
                    </a:graphicData>
                  </a:graphic>
                </wp:inline>
              </w:drawing>
            </w:r>
          </w:p>
        </w:tc>
      </w:tr>
    </w:tbl>
    <w:p w14:paraId="69EF6CD1" w14:textId="77777777" w:rsidR="00B420F2" w:rsidRDefault="00B420F2"/>
    <w:p w14:paraId="212E7674" w14:textId="77777777" w:rsidR="00B420F2" w:rsidRDefault="00C931AE">
      <w:pPr>
        <w:jc w:val="center"/>
        <w:rPr>
          <w:sz w:val="18"/>
          <w:szCs w:val="18"/>
        </w:rPr>
      </w:pPr>
      <w:r>
        <w:rPr>
          <w:sz w:val="18"/>
          <w:szCs w:val="18"/>
        </w:rPr>
        <w:t>--------------------------------------------------------------------------------------------------------------------------</w:t>
      </w:r>
    </w:p>
    <w:p w14:paraId="0E830288" w14:textId="77777777" w:rsidR="00B420F2" w:rsidRDefault="00C931AE">
      <w:r>
        <w:br w:type="page"/>
      </w:r>
    </w:p>
    <w:tbl>
      <w:tblPr>
        <w:tblStyle w:val="TableGridPHPDOCX"/>
        <w:tblOverlap w:val="never"/>
        <w:tblW w:w="10800" w:type="dxa"/>
        <w:tblLook w:val="04A0" w:firstRow="1" w:lastRow="0" w:firstColumn="1" w:lastColumn="0" w:noHBand="0" w:noVBand="1"/>
      </w:tblPr>
      <w:tblGrid>
        <w:gridCol w:w="10800"/>
      </w:tblGrid>
      <w:tr w:rsidR="00B420F2" w14:paraId="63092F31" w14:textId="77777777">
        <w:tc>
          <w:tcPr>
            <w:tcW w:w="7200" w:type="dxa"/>
            <w:shd w:val="clear" w:color="auto" w:fill="C4D82D"/>
          </w:tcPr>
          <w:p w14:paraId="5304CC55" w14:textId="77777777" w:rsidR="00B420F2" w:rsidRDefault="00C931AE">
            <w:pPr>
              <w:jc w:val="center"/>
              <w:rPr>
                <w:b/>
                <w:bCs/>
                <w:color w:val="000000"/>
                <w:sz w:val="20"/>
                <w:szCs w:val="20"/>
              </w:rPr>
            </w:pPr>
            <w:r>
              <w:rPr>
                <w:b/>
                <w:bCs/>
                <w:color w:val="000000"/>
                <w:sz w:val="20"/>
                <w:szCs w:val="20"/>
              </w:rPr>
              <w:lastRenderedPageBreak/>
              <w:t>Google Llc</w:t>
            </w:r>
          </w:p>
          <w:p w14:paraId="7A1FCA2B" w14:textId="77777777" w:rsidR="00B420F2" w:rsidRDefault="00C931AE">
            <w:pPr>
              <w:jc w:val="center"/>
              <w:rPr>
                <w:b/>
                <w:bCs/>
                <w:color w:val="000000"/>
                <w:sz w:val="20"/>
                <w:szCs w:val="20"/>
              </w:rPr>
            </w:pPr>
            <w:r>
              <w:rPr>
                <w:b/>
                <w:bCs/>
                <w:color w:val="000000"/>
                <w:sz w:val="20"/>
                <w:szCs w:val="20"/>
              </w:rPr>
              <w:t>Google Llc 401(K) Savings Plan</w:t>
            </w:r>
          </w:p>
          <w:p w14:paraId="309BC60A" w14:textId="77777777" w:rsidR="00B420F2" w:rsidRDefault="00C931AE">
            <w:pPr>
              <w:jc w:val="center"/>
              <w:rPr>
                <w:b/>
                <w:bCs/>
                <w:color w:val="000000"/>
                <w:sz w:val="20"/>
                <w:szCs w:val="20"/>
              </w:rPr>
            </w:pPr>
            <w:r>
              <w:rPr>
                <w:b/>
                <w:bCs/>
                <w:color w:val="000000"/>
                <w:sz w:val="20"/>
                <w:szCs w:val="20"/>
              </w:rPr>
              <w:t>Plan Feature Prevalence</w:t>
            </w:r>
          </w:p>
        </w:tc>
      </w:tr>
    </w:tbl>
    <w:p w14:paraId="72646887"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400"/>
        <w:gridCol w:w="5400"/>
      </w:tblGrid>
      <w:tr w:rsidR="00B420F2" w14:paraId="6D57A757" w14:textId="77777777">
        <w:tc>
          <w:tcPr>
            <w:tcW w:w="5400" w:type="dxa"/>
            <w:gridSpan w:val="2"/>
            <w:shd w:val="clear" w:color="auto" w:fill="3232FF"/>
            <w:tcMar>
              <w:top w:w="60" w:type="dxa"/>
              <w:left w:w="60" w:type="dxa"/>
              <w:bottom w:w="60" w:type="dxa"/>
              <w:right w:w="60" w:type="dxa"/>
            </w:tcMar>
          </w:tcPr>
          <w:p w14:paraId="110AFB4E" w14:textId="77777777" w:rsidR="00B420F2" w:rsidRDefault="00C931AE">
            <w:pPr>
              <w:jc w:val="center"/>
              <w:rPr>
                <w:b/>
                <w:bCs/>
                <w:color w:val="FFFFFF"/>
                <w:sz w:val="20"/>
                <w:szCs w:val="20"/>
              </w:rPr>
            </w:pPr>
            <w:r>
              <w:rPr>
                <w:b/>
                <w:bCs/>
                <w:color w:val="FFFFFF"/>
                <w:sz w:val="20"/>
                <w:szCs w:val="20"/>
              </w:rPr>
              <w:t>Plan Feature Prevalence</w:t>
            </w:r>
          </w:p>
        </w:tc>
      </w:tr>
      <w:tr w:rsidR="00B420F2" w14:paraId="2CB37139"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56BBA3CC" w14:textId="77777777" w:rsidR="00B420F2" w:rsidRDefault="00C931AE">
            <w:pPr>
              <w:rPr>
                <w:b/>
                <w:bCs/>
                <w:color w:val="3232FF"/>
                <w:sz w:val="18"/>
                <w:szCs w:val="18"/>
              </w:rPr>
            </w:pPr>
            <w:r>
              <w:rPr>
                <w:b/>
                <w:bCs/>
                <w:color w:val="3232FF"/>
                <w:sz w:val="18"/>
                <w:szCs w:val="18"/>
              </w:rPr>
              <w:t xml:space="preserve">  </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7787B83A" w14:textId="77777777" w:rsidR="00B420F2" w:rsidRDefault="00B420F2">
            <w:pPr>
              <w:rPr>
                <w:sz w:val="18"/>
                <w:szCs w:val="18"/>
              </w:rPr>
            </w:pPr>
          </w:p>
        </w:tc>
      </w:tr>
      <w:tr w:rsidR="00B420F2" w14:paraId="3EA3A96E"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7B0B5DC3" w14:textId="77777777" w:rsidR="00B420F2" w:rsidRDefault="00C931AE">
            <w:pPr>
              <w:rPr>
                <w:b/>
                <w:bCs/>
                <w:color w:val="3232FF"/>
                <w:sz w:val="18"/>
                <w:szCs w:val="18"/>
              </w:rPr>
            </w:pPr>
            <w:r>
              <w:rPr>
                <w:b/>
                <w:bCs/>
                <w:color w:val="3232FF"/>
                <w:sz w:val="18"/>
                <w:szCs w:val="18"/>
              </w:rPr>
              <w:t xml:space="preserve">  Cross Tested Plan</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7E18FBAB" w14:textId="77777777" w:rsidR="00B420F2" w:rsidRDefault="00C931AE">
            <w:pPr>
              <w:rPr>
                <w:sz w:val="18"/>
                <w:szCs w:val="18"/>
              </w:rPr>
            </w:pPr>
            <w:r>
              <w:rPr>
                <w:sz w:val="18"/>
                <w:szCs w:val="18"/>
              </w:rPr>
              <w:t>Cross-testing is a sophisticated method of meeting IRS non-discrimination requirements for profit-sharing contributions. Under this testing method, current year allocations are converted to a benefit payable at retirement age. This mean</w:t>
            </w:r>
            <w:r>
              <w:rPr>
                <w:sz w:val="18"/>
                <w:szCs w:val="18"/>
              </w:rPr>
              <w:t>s that allocations for younger employees will be credited with compound interest over several years while allocations for older employees will not receive the benefit of compounded interest. As a result, a cross-tested plan may allow for older business own</w:t>
            </w:r>
            <w:r>
              <w:rPr>
                <w:sz w:val="18"/>
                <w:szCs w:val="18"/>
              </w:rPr>
              <w:t>ers to receive higher profit-sharing allocations as a percentage of compensation than other, younger, employees. This feature is generally most effective when business owners are older and there are enough other younger employees. This method can also be u</w:t>
            </w:r>
            <w:r>
              <w:rPr>
                <w:sz w:val="18"/>
                <w:szCs w:val="18"/>
              </w:rPr>
              <w:t>sed in larger employers with multiple divisions with disparate profit-sharing formulas that cannot utilize uniform IRS 'Safe Harbor' allocation rules.</w:t>
            </w:r>
          </w:p>
          <w:p w14:paraId="1F7BDCD0" w14:textId="77777777" w:rsidR="00B420F2" w:rsidRDefault="00B420F2">
            <w:pPr>
              <w:rPr>
                <w:sz w:val="18"/>
                <w:szCs w:val="18"/>
              </w:rPr>
            </w:pPr>
          </w:p>
          <w:p w14:paraId="6DD2DD9E" w14:textId="77777777" w:rsidR="00B420F2" w:rsidRDefault="00C931AE">
            <w:pPr>
              <w:rPr>
                <w:b/>
                <w:bCs/>
                <w:sz w:val="18"/>
                <w:szCs w:val="18"/>
              </w:rPr>
            </w:pPr>
            <w:r>
              <w:rPr>
                <w:b/>
                <w:bCs/>
                <w:sz w:val="18"/>
                <w:szCs w:val="18"/>
              </w:rPr>
              <w:t>Feature Prevalence in Peer Group (Percentage of Plans)</w:t>
            </w:r>
          </w:p>
          <w:tbl>
            <w:tblPr>
              <w:tblStyle w:val="TableGridPHPDOCX"/>
              <w:tblOverlap w:val="never"/>
              <w:tblW w:w="2160" w:type="dxa"/>
              <w:tblLayout w:type="fixed"/>
              <w:tblLook w:val="04A0" w:firstRow="1" w:lastRow="0" w:firstColumn="1" w:lastColumn="0" w:noHBand="0" w:noVBand="1"/>
            </w:tblPr>
            <w:tblGrid>
              <w:gridCol w:w="1260"/>
              <w:gridCol w:w="900"/>
            </w:tblGrid>
            <w:tr w:rsidR="00B420F2" w14:paraId="2D1C74D3"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D8CF03B" w14:textId="77777777" w:rsidR="00B420F2" w:rsidRDefault="00C931AE">
                  <w:pPr>
                    <w:rPr>
                      <w:sz w:val="18"/>
                      <w:szCs w:val="18"/>
                    </w:rPr>
                  </w:pPr>
                  <w:r>
                    <w:rPr>
                      <w:sz w:val="18"/>
                      <w:szCs w:val="18"/>
                    </w:rPr>
                    <w:t>Yes</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2E8EEC3" w14:textId="77777777" w:rsidR="00B420F2" w:rsidRDefault="00C931AE">
                  <w:pPr>
                    <w:jc w:val="right"/>
                    <w:rPr>
                      <w:sz w:val="18"/>
                      <w:szCs w:val="18"/>
                    </w:rPr>
                  </w:pPr>
                  <w:r>
                    <w:rPr>
                      <w:sz w:val="18"/>
                      <w:szCs w:val="18"/>
                    </w:rPr>
                    <w:t>5.41%</w:t>
                  </w:r>
                </w:p>
              </w:tc>
            </w:tr>
            <w:tr w:rsidR="00B420F2" w14:paraId="67EED143"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7BA8F28" w14:textId="77777777" w:rsidR="00B420F2" w:rsidRDefault="00C931AE">
                  <w:pPr>
                    <w:rPr>
                      <w:sz w:val="18"/>
                      <w:szCs w:val="18"/>
                    </w:rPr>
                  </w:pPr>
                  <w:r>
                    <w:rPr>
                      <w:sz w:val="18"/>
                      <w:szCs w:val="18"/>
                    </w:rPr>
                    <w:t>No</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B12B678" w14:textId="77777777" w:rsidR="00B420F2" w:rsidRDefault="00C931AE">
                  <w:pPr>
                    <w:jc w:val="right"/>
                    <w:rPr>
                      <w:sz w:val="18"/>
                      <w:szCs w:val="18"/>
                    </w:rPr>
                  </w:pPr>
                  <w:r>
                    <w:rPr>
                      <w:sz w:val="18"/>
                      <w:szCs w:val="18"/>
                    </w:rPr>
                    <w:t>94.59%</w:t>
                  </w:r>
                </w:p>
              </w:tc>
            </w:tr>
            <w:tr w:rsidR="00B420F2" w14:paraId="0494D850"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FDEF5F8" w14:textId="77777777" w:rsidR="00B420F2" w:rsidRDefault="00C931AE">
                  <w:pPr>
                    <w:rPr>
                      <w:sz w:val="18"/>
                      <w:szCs w:val="18"/>
                    </w:rPr>
                  </w:pPr>
                  <w:r>
                    <w:rPr>
                      <w:sz w:val="18"/>
                      <w:szCs w:val="18"/>
                    </w:rPr>
                    <w:t>This Plan</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78F03E2" w14:textId="77777777" w:rsidR="00B420F2" w:rsidRDefault="00C931AE">
                  <w:pPr>
                    <w:jc w:val="right"/>
                    <w:rPr>
                      <w:sz w:val="18"/>
                      <w:szCs w:val="18"/>
                    </w:rPr>
                  </w:pPr>
                  <w:r>
                    <w:rPr>
                      <w:sz w:val="18"/>
                      <w:szCs w:val="18"/>
                    </w:rPr>
                    <w:t>No</w:t>
                  </w:r>
                </w:p>
              </w:tc>
            </w:tr>
          </w:tbl>
          <w:p w14:paraId="5D3B150E" w14:textId="77777777" w:rsidR="00B420F2" w:rsidRDefault="00C931AE">
            <w:pPr>
              <w:rPr>
                <w:sz w:val="18"/>
                <w:szCs w:val="18"/>
              </w:rPr>
            </w:pPr>
            <w:r>
              <w:rPr>
                <w:sz w:val="18"/>
                <w:szCs w:val="18"/>
              </w:rPr>
              <w:t xml:space="preserve"> </w:t>
            </w:r>
          </w:p>
        </w:tc>
      </w:tr>
      <w:tr w:rsidR="00B420F2" w14:paraId="04556EBD"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27A7B7A8" w14:textId="77777777" w:rsidR="00B420F2" w:rsidRDefault="00C931AE">
            <w:pPr>
              <w:rPr>
                <w:b/>
                <w:bCs/>
                <w:color w:val="3232FF"/>
                <w:sz w:val="18"/>
                <w:szCs w:val="18"/>
              </w:rPr>
            </w:pPr>
            <w:r>
              <w:rPr>
                <w:b/>
                <w:bCs/>
                <w:color w:val="3232FF"/>
                <w:sz w:val="18"/>
                <w:szCs w:val="18"/>
              </w:rPr>
              <w:t xml:space="preserve">  Complies with DOL sec. 404(c)</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683D6193" w14:textId="77777777" w:rsidR="00B420F2" w:rsidRDefault="00C931AE">
            <w:pPr>
              <w:rPr>
                <w:sz w:val="18"/>
                <w:szCs w:val="18"/>
              </w:rPr>
            </w:pPr>
            <w:r>
              <w:rPr>
                <w:sz w:val="18"/>
                <w:szCs w:val="18"/>
              </w:rPr>
              <w:t>If the plan provides for participant self-direction of investments, DOL sec. 404(c) provides valuable protection to plan fiduciaries from liability for participant investment selection. Under the 404(c) rules, participants m</w:t>
            </w:r>
            <w:r>
              <w:rPr>
                <w:sz w:val="18"/>
                <w:szCs w:val="18"/>
              </w:rPr>
              <w:t>ust have access to at least four investment options with carrying risk/return characteristics and must be provided with certain information about the investment options in the plan. A recent study by ERISApedia.com showed that most plans offering participa</w:t>
            </w:r>
            <w:r>
              <w:rPr>
                <w:sz w:val="18"/>
                <w:szCs w:val="18"/>
              </w:rPr>
              <w:t>nt self-direction contain from 12 - 22 fund options. Most plan providers are well equipped to assist plan fiduciaries in meeting these 404(c) rules. Please note, however, that the 404(c) rules provide protection to plan fiduciaries for the participants' in</w:t>
            </w:r>
            <w:r>
              <w:rPr>
                <w:sz w:val="18"/>
                <w:szCs w:val="18"/>
              </w:rPr>
              <w:t>vestment choices. The plan fiduciaries still must be prudent in the selecting the funds in the plan's investment line-up.</w:t>
            </w:r>
          </w:p>
          <w:p w14:paraId="15D5316D" w14:textId="77777777" w:rsidR="00B420F2" w:rsidRDefault="00B420F2">
            <w:pPr>
              <w:rPr>
                <w:sz w:val="18"/>
                <w:szCs w:val="18"/>
              </w:rPr>
            </w:pPr>
          </w:p>
          <w:p w14:paraId="2ED5E117" w14:textId="77777777" w:rsidR="00B420F2" w:rsidRDefault="00C931AE">
            <w:pPr>
              <w:rPr>
                <w:b/>
                <w:bCs/>
                <w:sz w:val="18"/>
                <w:szCs w:val="18"/>
              </w:rPr>
            </w:pPr>
            <w:r>
              <w:rPr>
                <w:b/>
                <w:bCs/>
                <w:sz w:val="18"/>
                <w:szCs w:val="18"/>
              </w:rPr>
              <w:t>Feature Prevalence in Peer Group (Percentage of Plans)</w:t>
            </w:r>
          </w:p>
          <w:tbl>
            <w:tblPr>
              <w:tblStyle w:val="TableGridPHPDOCX"/>
              <w:tblOverlap w:val="never"/>
              <w:tblW w:w="2160" w:type="dxa"/>
              <w:tblLayout w:type="fixed"/>
              <w:tblLook w:val="04A0" w:firstRow="1" w:lastRow="0" w:firstColumn="1" w:lastColumn="0" w:noHBand="0" w:noVBand="1"/>
            </w:tblPr>
            <w:tblGrid>
              <w:gridCol w:w="1260"/>
              <w:gridCol w:w="900"/>
            </w:tblGrid>
            <w:tr w:rsidR="00B420F2" w14:paraId="0A144FC8"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5E28F590" w14:textId="77777777" w:rsidR="00B420F2" w:rsidRDefault="00C931AE">
                  <w:pPr>
                    <w:rPr>
                      <w:sz w:val="18"/>
                      <w:szCs w:val="18"/>
                    </w:rPr>
                  </w:pPr>
                  <w:r>
                    <w:rPr>
                      <w:sz w:val="18"/>
                      <w:szCs w:val="18"/>
                    </w:rPr>
                    <w:t>Yes</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646176B8" w14:textId="77777777" w:rsidR="00B420F2" w:rsidRDefault="00C931AE">
                  <w:pPr>
                    <w:jc w:val="right"/>
                    <w:rPr>
                      <w:sz w:val="18"/>
                      <w:szCs w:val="18"/>
                    </w:rPr>
                  </w:pPr>
                  <w:r>
                    <w:rPr>
                      <w:sz w:val="18"/>
                      <w:szCs w:val="18"/>
                    </w:rPr>
                    <w:t>87.84%</w:t>
                  </w:r>
                </w:p>
              </w:tc>
            </w:tr>
            <w:tr w:rsidR="00B420F2" w14:paraId="056DB6CF"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8456474" w14:textId="77777777" w:rsidR="00B420F2" w:rsidRDefault="00C931AE">
                  <w:pPr>
                    <w:rPr>
                      <w:sz w:val="18"/>
                      <w:szCs w:val="18"/>
                    </w:rPr>
                  </w:pPr>
                  <w:r>
                    <w:rPr>
                      <w:sz w:val="18"/>
                      <w:szCs w:val="18"/>
                    </w:rPr>
                    <w:t>No</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92B83D8" w14:textId="77777777" w:rsidR="00B420F2" w:rsidRDefault="00C931AE">
                  <w:pPr>
                    <w:jc w:val="right"/>
                    <w:rPr>
                      <w:sz w:val="18"/>
                      <w:szCs w:val="18"/>
                    </w:rPr>
                  </w:pPr>
                  <w:r>
                    <w:rPr>
                      <w:sz w:val="18"/>
                      <w:szCs w:val="18"/>
                    </w:rPr>
                    <w:t>12.16%</w:t>
                  </w:r>
                </w:p>
              </w:tc>
            </w:tr>
            <w:tr w:rsidR="00B420F2" w14:paraId="16EA8DD7"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5D0AE5A9" w14:textId="77777777" w:rsidR="00B420F2" w:rsidRDefault="00C931AE">
                  <w:pPr>
                    <w:rPr>
                      <w:sz w:val="18"/>
                      <w:szCs w:val="18"/>
                    </w:rPr>
                  </w:pPr>
                  <w:r>
                    <w:rPr>
                      <w:sz w:val="18"/>
                      <w:szCs w:val="18"/>
                    </w:rPr>
                    <w:t>This Plan</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61962A8" w14:textId="77777777" w:rsidR="00B420F2" w:rsidRDefault="00C931AE">
                  <w:pPr>
                    <w:jc w:val="right"/>
                    <w:rPr>
                      <w:sz w:val="18"/>
                      <w:szCs w:val="18"/>
                    </w:rPr>
                  </w:pPr>
                  <w:r>
                    <w:rPr>
                      <w:sz w:val="18"/>
                      <w:szCs w:val="18"/>
                    </w:rPr>
                    <w:t>Yes</w:t>
                  </w:r>
                </w:p>
              </w:tc>
            </w:tr>
          </w:tbl>
          <w:p w14:paraId="3F503D88" w14:textId="77777777" w:rsidR="00B420F2" w:rsidRDefault="00C931AE">
            <w:pPr>
              <w:rPr>
                <w:sz w:val="18"/>
                <w:szCs w:val="18"/>
              </w:rPr>
            </w:pPr>
            <w:r>
              <w:rPr>
                <w:sz w:val="18"/>
                <w:szCs w:val="18"/>
              </w:rPr>
              <w:t xml:space="preserve"> </w:t>
            </w:r>
          </w:p>
        </w:tc>
      </w:tr>
    </w:tbl>
    <w:p w14:paraId="5C860474" w14:textId="77777777" w:rsidR="00B420F2" w:rsidRDefault="00C931AE">
      <w:r>
        <w:br w:type="page"/>
      </w:r>
    </w:p>
    <w:tbl>
      <w:tblPr>
        <w:tblStyle w:val="TableGridPHPDOCX"/>
        <w:tblOverlap w:val="never"/>
        <w:tblW w:w="10800" w:type="dxa"/>
        <w:tblLook w:val="04A0" w:firstRow="1" w:lastRow="0" w:firstColumn="1" w:lastColumn="0" w:noHBand="0" w:noVBand="1"/>
      </w:tblPr>
      <w:tblGrid>
        <w:gridCol w:w="10800"/>
      </w:tblGrid>
      <w:tr w:rsidR="00B420F2" w14:paraId="4FC69E3B" w14:textId="77777777">
        <w:tc>
          <w:tcPr>
            <w:tcW w:w="7200" w:type="dxa"/>
            <w:shd w:val="clear" w:color="auto" w:fill="C4D82D"/>
          </w:tcPr>
          <w:p w14:paraId="1C65AE09" w14:textId="77777777" w:rsidR="00B420F2" w:rsidRDefault="00C931AE">
            <w:pPr>
              <w:jc w:val="center"/>
              <w:rPr>
                <w:b/>
                <w:bCs/>
                <w:color w:val="000000"/>
                <w:sz w:val="20"/>
                <w:szCs w:val="20"/>
              </w:rPr>
            </w:pPr>
            <w:r>
              <w:rPr>
                <w:b/>
                <w:bCs/>
                <w:color w:val="000000"/>
                <w:sz w:val="20"/>
                <w:szCs w:val="20"/>
              </w:rPr>
              <w:lastRenderedPageBreak/>
              <w:t>Google Llc</w:t>
            </w:r>
          </w:p>
          <w:p w14:paraId="03D24539" w14:textId="77777777" w:rsidR="00B420F2" w:rsidRDefault="00C931AE">
            <w:pPr>
              <w:jc w:val="center"/>
              <w:rPr>
                <w:b/>
                <w:bCs/>
                <w:color w:val="000000"/>
                <w:sz w:val="20"/>
                <w:szCs w:val="20"/>
              </w:rPr>
            </w:pPr>
            <w:r>
              <w:rPr>
                <w:b/>
                <w:bCs/>
                <w:color w:val="000000"/>
                <w:sz w:val="20"/>
                <w:szCs w:val="20"/>
              </w:rPr>
              <w:t>Google Llc 401(K) Savings Plan</w:t>
            </w:r>
          </w:p>
          <w:p w14:paraId="34B646CB" w14:textId="77777777" w:rsidR="00B420F2" w:rsidRDefault="00C931AE">
            <w:pPr>
              <w:jc w:val="center"/>
              <w:rPr>
                <w:b/>
                <w:bCs/>
                <w:color w:val="000000"/>
                <w:sz w:val="20"/>
                <w:szCs w:val="20"/>
              </w:rPr>
            </w:pPr>
            <w:r>
              <w:rPr>
                <w:b/>
                <w:bCs/>
                <w:color w:val="000000"/>
                <w:sz w:val="20"/>
                <w:szCs w:val="20"/>
              </w:rPr>
              <w:t>Plan Feature Prevalence</w:t>
            </w:r>
          </w:p>
        </w:tc>
      </w:tr>
    </w:tbl>
    <w:p w14:paraId="11B11806"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400"/>
        <w:gridCol w:w="5400"/>
      </w:tblGrid>
      <w:tr w:rsidR="00B420F2" w14:paraId="0208A3BF" w14:textId="77777777">
        <w:tc>
          <w:tcPr>
            <w:tcW w:w="5400" w:type="dxa"/>
            <w:gridSpan w:val="2"/>
            <w:shd w:val="clear" w:color="auto" w:fill="3232FF"/>
            <w:tcMar>
              <w:top w:w="60" w:type="dxa"/>
              <w:left w:w="60" w:type="dxa"/>
              <w:bottom w:w="60" w:type="dxa"/>
              <w:right w:w="60" w:type="dxa"/>
            </w:tcMar>
          </w:tcPr>
          <w:p w14:paraId="51F368CF" w14:textId="77777777" w:rsidR="00B420F2" w:rsidRDefault="00C931AE">
            <w:pPr>
              <w:jc w:val="center"/>
              <w:rPr>
                <w:b/>
                <w:bCs/>
                <w:color w:val="FFFFFF"/>
                <w:sz w:val="20"/>
                <w:szCs w:val="20"/>
              </w:rPr>
            </w:pPr>
            <w:r>
              <w:rPr>
                <w:b/>
                <w:bCs/>
                <w:color w:val="FFFFFF"/>
                <w:sz w:val="20"/>
                <w:szCs w:val="20"/>
              </w:rPr>
              <w:t>Plan Feature Prevalence</w:t>
            </w:r>
          </w:p>
        </w:tc>
      </w:tr>
      <w:tr w:rsidR="00B420F2" w14:paraId="36F89CE1"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207E81FF" w14:textId="77777777" w:rsidR="00B420F2" w:rsidRDefault="00C931AE">
            <w:pPr>
              <w:rPr>
                <w:b/>
                <w:bCs/>
                <w:color w:val="3232FF"/>
                <w:sz w:val="18"/>
                <w:szCs w:val="18"/>
              </w:rPr>
            </w:pPr>
            <w:r>
              <w:rPr>
                <w:b/>
                <w:bCs/>
                <w:color w:val="3232FF"/>
                <w:sz w:val="18"/>
                <w:szCs w:val="18"/>
              </w:rPr>
              <w:t xml:space="preserve">  </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304DE28A" w14:textId="77777777" w:rsidR="00B420F2" w:rsidRDefault="00B420F2">
            <w:pPr>
              <w:rPr>
                <w:sz w:val="18"/>
                <w:szCs w:val="18"/>
              </w:rPr>
            </w:pPr>
          </w:p>
        </w:tc>
      </w:tr>
      <w:tr w:rsidR="00B420F2" w14:paraId="5642D5FD"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7AA727EB" w14:textId="77777777" w:rsidR="00B420F2" w:rsidRDefault="00C931AE">
            <w:pPr>
              <w:rPr>
                <w:b/>
                <w:bCs/>
                <w:color w:val="3232FF"/>
                <w:sz w:val="18"/>
                <w:szCs w:val="18"/>
              </w:rPr>
            </w:pPr>
            <w:r>
              <w:rPr>
                <w:b/>
                <w:bCs/>
                <w:color w:val="3232FF"/>
                <w:sz w:val="18"/>
                <w:szCs w:val="18"/>
              </w:rPr>
              <w:t xml:space="preserve">  Participant Self-Direction</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79B36DCF" w14:textId="77777777" w:rsidR="00B420F2" w:rsidRDefault="00C931AE">
            <w:pPr>
              <w:rPr>
                <w:sz w:val="18"/>
                <w:szCs w:val="18"/>
              </w:rPr>
            </w:pPr>
            <w:r>
              <w:rPr>
                <w:sz w:val="18"/>
                <w:szCs w:val="18"/>
              </w:rPr>
              <w:t>Prior to the mid 1990s most plans were operated on a 'pooled' investment basis. Each participant had an undivided interest in the underlying plan investments and plans were often only valued on a quarterly or less frequent basis. This means that participan</w:t>
            </w:r>
            <w:r>
              <w:rPr>
                <w:sz w:val="18"/>
                <w:szCs w:val="18"/>
              </w:rPr>
              <w:t>ts had no say in how their 401(k) contributions were invested and would need to wait for a plan valuation in order to receive their funds after termination of employment. Employers who sponsored poled plans were hesitant to allow participants a choice in i</w:t>
            </w:r>
            <w:r>
              <w:rPr>
                <w:sz w:val="18"/>
                <w:szCs w:val="18"/>
              </w:rPr>
              <w:t>nvestment because the employer/fiduciary would still be liable for poor participant investment selection. All of that changed when DOL issued the 404(c) regulations (see above) which provided protection to employer/fiduciaries for participant investment se</w:t>
            </w:r>
            <w:r>
              <w:rPr>
                <w:sz w:val="18"/>
                <w:szCs w:val="18"/>
              </w:rPr>
              <w:t>lection. As a result, there are very few pooled plans left.</w:t>
            </w:r>
          </w:p>
          <w:p w14:paraId="73889FBF" w14:textId="77777777" w:rsidR="00B420F2" w:rsidRDefault="00B420F2">
            <w:pPr>
              <w:rPr>
                <w:sz w:val="18"/>
                <w:szCs w:val="18"/>
              </w:rPr>
            </w:pPr>
          </w:p>
          <w:p w14:paraId="5B6564D6" w14:textId="77777777" w:rsidR="00B420F2" w:rsidRDefault="00C931AE">
            <w:pPr>
              <w:rPr>
                <w:b/>
                <w:bCs/>
                <w:sz w:val="18"/>
                <w:szCs w:val="18"/>
              </w:rPr>
            </w:pPr>
            <w:r>
              <w:rPr>
                <w:b/>
                <w:bCs/>
                <w:sz w:val="18"/>
                <w:szCs w:val="18"/>
              </w:rPr>
              <w:t>Feature Prevalence in Peer Group (Percentage of Plans)</w:t>
            </w:r>
          </w:p>
          <w:tbl>
            <w:tblPr>
              <w:tblStyle w:val="TableGridPHPDOCX"/>
              <w:tblOverlap w:val="never"/>
              <w:tblW w:w="2160" w:type="dxa"/>
              <w:tblLayout w:type="fixed"/>
              <w:tblLook w:val="04A0" w:firstRow="1" w:lastRow="0" w:firstColumn="1" w:lastColumn="0" w:noHBand="0" w:noVBand="1"/>
            </w:tblPr>
            <w:tblGrid>
              <w:gridCol w:w="1260"/>
              <w:gridCol w:w="900"/>
            </w:tblGrid>
            <w:tr w:rsidR="00B420F2" w14:paraId="7BDAF085"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5BDA48B9" w14:textId="77777777" w:rsidR="00B420F2" w:rsidRDefault="00C931AE">
                  <w:pPr>
                    <w:rPr>
                      <w:sz w:val="18"/>
                      <w:szCs w:val="18"/>
                    </w:rPr>
                  </w:pPr>
                  <w:r>
                    <w:rPr>
                      <w:sz w:val="18"/>
                      <w:szCs w:val="18"/>
                    </w:rPr>
                    <w:t>Total</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6024B905" w14:textId="77777777" w:rsidR="00B420F2" w:rsidRDefault="00C931AE">
                  <w:pPr>
                    <w:jc w:val="right"/>
                    <w:rPr>
                      <w:sz w:val="18"/>
                      <w:szCs w:val="18"/>
                    </w:rPr>
                  </w:pPr>
                  <w:r>
                    <w:rPr>
                      <w:sz w:val="18"/>
                      <w:szCs w:val="18"/>
                    </w:rPr>
                    <w:t>91.89%</w:t>
                  </w:r>
                </w:p>
              </w:tc>
            </w:tr>
            <w:tr w:rsidR="00B420F2" w14:paraId="3A21E046"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194A1A40" w14:textId="77777777" w:rsidR="00B420F2" w:rsidRDefault="00C931AE">
                  <w:pPr>
                    <w:rPr>
                      <w:sz w:val="18"/>
                      <w:szCs w:val="18"/>
                    </w:rPr>
                  </w:pPr>
                  <w:r>
                    <w:rPr>
                      <w:sz w:val="18"/>
                      <w:szCs w:val="18"/>
                    </w:rPr>
                    <w:t>Partial</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ADDCD82" w14:textId="77777777" w:rsidR="00B420F2" w:rsidRDefault="00C931AE">
                  <w:pPr>
                    <w:jc w:val="right"/>
                    <w:rPr>
                      <w:sz w:val="18"/>
                      <w:szCs w:val="18"/>
                    </w:rPr>
                  </w:pPr>
                  <w:r>
                    <w:rPr>
                      <w:sz w:val="18"/>
                      <w:szCs w:val="18"/>
                    </w:rPr>
                    <w:t>4.05%</w:t>
                  </w:r>
                </w:p>
              </w:tc>
            </w:tr>
            <w:tr w:rsidR="00B420F2" w14:paraId="2746AB35"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0A5B46C" w14:textId="77777777" w:rsidR="00B420F2" w:rsidRDefault="00C931AE">
                  <w:pPr>
                    <w:rPr>
                      <w:sz w:val="18"/>
                      <w:szCs w:val="18"/>
                    </w:rPr>
                  </w:pPr>
                  <w:r>
                    <w:rPr>
                      <w:sz w:val="18"/>
                      <w:szCs w:val="18"/>
                    </w:rPr>
                    <w:t>None</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00768A7" w14:textId="77777777" w:rsidR="00B420F2" w:rsidRDefault="00C931AE">
                  <w:pPr>
                    <w:jc w:val="right"/>
                    <w:rPr>
                      <w:sz w:val="18"/>
                      <w:szCs w:val="18"/>
                    </w:rPr>
                  </w:pPr>
                  <w:r>
                    <w:rPr>
                      <w:sz w:val="18"/>
                      <w:szCs w:val="18"/>
                    </w:rPr>
                    <w:t>4.05%</w:t>
                  </w:r>
                </w:p>
              </w:tc>
            </w:tr>
            <w:tr w:rsidR="00B420F2" w14:paraId="40155D70"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5D22D03E" w14:textId="77777777" w:rsidR="00B420F2" w:rsidRDefault="00C931AE">
                  <w:pPr>
                    <w:rPr>
                      <w:sz w:val="18"/>
                      <w:szCs w:val="18"/>
                    </w:rPr>
                  </w:pPr>
                  <w:r>
                    <w:rPr>
                      <w:sz w:val="18"/>
                      <w:szCs w:val="18"/>
                    </w:rPr>
                    <w:t>This Plan</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1B9BB903" w14:textId="77777777" w:rsidR="00B420F2" w:rsidRDefault="00C931AE">
                  <w:pPr>
                    <w:jc w:val="right"/>
                    <w:rPr>
                      <w:sz w:val="18"/>
                      <w:szCs w:val="18"/>
                    </w:rPr>
                  </w:pPr>
                  <w:r>
                    <w:rPr>
                      <w:sz w:val="18"/>
                      <w:szCs w:val="18"/>
                    </w:rPr>
                    <w:t>Total</w:t>
                  </w:r>
                </w:p>
              </w:tc>
            </w:tr>
          </w:tbl>
          <w:p w14:paraId="0EAE781E" w14:textId="77777777" w:rsidR="00B420F2" w:rsidRDefault="00C931AE">
            <w:pPr>
              <w:rPr>
                <w:sz w:val="18"/>
                <w:szCs w:val="18"/>
              </w:rPr>
            </w:pPr>
            <w:r>
              <w:rPr>
                <w:sz w:val="18"/>
                <w:szCs w:val="18"/>
              </w:rPr>
              <w:t xml:space="preserve"> </w:t>
            </w:r>
          </w:p>
        </w:tc>
      </w:tr>
      <w:tr w:rsidR="00B420F2" w14:paraId="24CBD7AF"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5D182280" w14:textId="77777777" w:rsidR="00B420F2" w:rsidRDefault="00C931AE">
            <w:pPr>
              <w:rPr>
                <w:b/>
                <w:bCs/>
                <w:color w:val="3232FF"/>
                <w:sz w:val="18"/>
                <w:szCs w:val="18"/>
              </w:rPr>
            </w:pPr>
            <w:r>
              <w:rPr>
                <w:b/>
                <w:bCs/>
                <w:color w:val="3232FF"/>
                <w:sz w:val="18"/>
                <w:szCs w:val="18"/>
              </w:rPr>
              <w:t xml:space="preserve">  Matching Contributions</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01F06F4E" w14:textId="77777777" w:rsidR="00B420F2" w:rsidRDefault="00C931AE">
            <w:pPr>
              <w:rPr>
                <w:sz w:val="18"/>
                <w:szCs w:val="18"/>
              </w:rPr>
            </w:pPr>
            <w:r>
              <w:rPr>
                <w:sz w:val="18"/>
                <w:szCs w:val="18"/>
              </w:rPr>
              <w:t>Employer matching contributions are contributions made on behalf of participants that are based on the amount of 401(k) contributions made by the participant. A typical formula will match a certain percentage (typically 50% - 100%) of a participant's 401(k</w:t>
            </w:r>
            <w:r>
              <w:rPr>
                <w:sz w:val="18"/>
                <w:szCs w:val="18"/>
              </w:rPr>
              <w:t>) contributions up to a maximum amount. If the matching formula meets certain requirements, the plan will not need to undergo burdensome testing of 401(k) and matching contributions that often result in refunds to highly compensated employees. Matching con</w:t>
            </w:r>
            <w:r>
              <w:rPr>
                <w:sz w:val="18"/>
                <w:szCs w:val="18"/>
              </w:rPr>
              <w:t>tributions are an effective way to boost employee participation in the plan and to demonstrate employer concern for retirement well-being.</w:t>
            </w:r>
          </w:p>
          <w:p w14:paraId="7FEABEE6" w14:textId="77777777" w:rsidR="00B420F2" w:rsidRDefault="00B420F2">
            <w:pPr>
              <w:rPr>
                <w:sz w:val="18"/>
                <w:szCs w:val="18"/>
              </w:rPr>
            </w:pPr>
          </w:p>
          <w:p w14:paraId="6BAA8D44" w14:textId="77777777" w:rsidR="00B420F2" w:rsidRDefault="00C931AE">
            <w:pPr>
              <w:rPr>
                <w:b/>
                <w:bCs/>
                <w:sz w:val="18"/>
                <w:szCs w:val="18"/>
              </w:rPr>
            </w:pPr>
            <w:r>
              <w:rPr>
                <w:b/>
                <w:bCs/>
                <w:sz w:val="18"/>
                <w:szCs w:val="18"/>
              </w:rPr>
              <w:t>Feature Prevalence in Peer Group (Percentage of Plans)</w:t>
            </w:r>
          </w:p>
          <w:tbl>
            <w:tblPr>
              <w:tblStyle w:val="TableGridPHPDOCX"/>
              <w:tblOverlap w:val="never"/>
              <w:tblW w:w="2160" w:type="dxa"/>
              <w:tblLayout w:type="fixed"/>
              <w:tblLook w:val="04A0" w:firstRow="1" w:lastRow="0" w:firstColumn="1" w:lastColumn="0" w:noHBand="0" w:noVBand="1"/>
            </w:tblPr>
            <w:tblGrid>
              <w:gridCol w:w="1260"/>
              <w:gridCol w:w="900"/>
            </w:tblGrid>
            <w:tr w:rsidR="00B420F2" w14:paraId="3916608F"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8FA6976" w14:textId="77777777" w:rsidR="00B420F2" w:rsidRDefault="00C931AE">
                  <w:pPr>
                    <w:rPr>
                      <w:sz w:val="18"/>
                      <w:szCs w:val="18"/>
                    </w:rPr>
                  </w:pPr>
                  <w:r>
                    <w:rPr>
                      <w:sz w:val="18"/>
                      <w:szCs w:val="18"/>
                    </w:rPr>
                    <w:t>Yes</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9AC7BCF" w14:textId="77777777" w:rsidR="00B420F2" w:rsidRDefault="00C931AE">
                  <w:pPr>
                    <w:jc w:val="right"/>
                    <w:rPr>
                      <w:sz w:val="18"/>
                      <w:szCs w:val="18"/>
                    </w:rPr>
                  </w:pPr>
                  <w:r>
                    <w:rPr>
                      <w:sz w:val="18"/>
                      <w:szCs w:val="18"/>
                    </w:rPr>
                    <w:t>93.24%</w:t>
                  </w:r>
                </w:p>
              </w:tc>
            </w:tr>
            <w:tr w:rsidR="00B420F2" w14:paraId="4AE1A6B7"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A8315CF" w14:textId="77777777" w:rsidR="00B420F2" w:rsidRDefault="00C931AE">
                  <w:pPr>
                    <w:rPr>
                      <w:sz w:val="18"/>
                      <w:szCs w:val="18"/>
                    </w:rPr>
                  </w:pPr>
                  <w:r>
                    <w:rPr>
                      <w:sz w:val="18"/>
                      <w:szCs w:val="18"/>
                    </w:rPr>
                    <w:t>No</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1E86119" w14:textId="77777777" w:rsidR="00B420F2" w:rsidRDefault="00C931AE">
                  <w:pPr>
                    <w:jc w:val="right"/>
                    <w:rPr>
                      <w:sz w:val="18"/>
                      <w:szCs w:val="18"/>
                    </w:rPr>
                  </w:pPr>
                  <w:r>
                    <w:rPr>
                      <w:sz w:val="18"/>
                      <w:szCs w:val="18"/>
                    </w:rPr>
                    <w:t>6.76%</w:t>
                  </w:r>
                </w:p>
              </w:tc>
            </w:tr>
            <w:tr w:rsidR="00B420F2" w14:paraId="02DFE1C5"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DC5A1E2" w14:textId="77777777" w:rsidR="00B420F2" w:rsidRDefault="00C931AE">
                  <w:pPr>
                    <w:rPr>
                      <w:sz w:val="18"/>
                      <w:szCs w:val="18"/>
                    </w:rPr>
                  </w:pPr>
                  <w:r>
                    <w:rPr>
                      <w:sz w:val="18"/>
                      <w:szCs w:val="18"/>
                    </w:rPr>
                    <w:t>This Plan</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1E03F0F" w14:textId="77777777" w:rsidR="00B420F2" w:rsidRDefault="00C931AE">
                  <w:pPr>
                    <w:jc w:val="right"/>
                    <w:rPr>
                      <w:sz w:val="18"/>
                      <w:szCs w:val="18"/>
                    </w:rPr>
                  </w:pPr>
                  <w:r>
                    <w:rPr>
                      <w:sz w:val="18"/>
                      <w:szCs w:val="18"/>
                    </w:rPr>
                    <w:t>Yes</w:t>
                  </w:r>
                </w:p>
              </w:tc>
            </w:tr>
          </w:tbl>
          <w:p w14:paraId="61E4E256" w14:textId="77777777" w:rsidR="00B420F2" w:rsidRDefault="00C931AE">
            <w:pPr>
              <w:rPr>
                <w:sz w:val="18"/>
                <w:szCs w:val="18"/>
              </w:rPr>
            </w:pPr>
            <w:r>
              <w:rPr>
                <w:sz w:val="18"/>
                <w:szCs w:val="18"/>
              </w:rPr>
              <w:t xml:space="preserve"> </w:t>
            </w:r>
          </w:p>
        </w:tc>
      </w:tr>
    </w:tbl>
    <w:p w14:paraId="3B1E2845" w14:textId="77777777" w:rsidR="00B420F2" w:rsidRDefault="00C931AE">
      <w:r>
        <w:br w:type="page"/>
      </w:r>
    </w:p>
    <w:tbl>
      <w:tblPr>
        <w:tblStyle w:val="TableGridPHPDOCX"/>
        <w:tblOverlap w:val="never"/>
        <w:tblW w:w="10800" w:type="dxa"/>
        <w:tblLook w:val="04A0" w:firstRow="1" w:lastRow="0" w:firstColumn="1" w:lastColumn="0" w:noHBand="0" w:noVBand="1"/>
      </w:tblPr>
      <w:tblGrid>
        <w:gridCol w:w="10800"/>
      </w:tblGrid>
      <w:tr w:rsidR="00B420F2" w14:paraId="5B5FDCFA" w14:textId="77777777">
        <w:tc>
          <w:tcPr>
            <w:tcW w:w="7200" w:type="dxa"/>
            <w:shd w:val="clear" w:color="auto" w:fill="C4D82D"/>
          </w:tcPr>
          <w:p w14:paraId="0EFBB4CA" w14:textId="77777777" w:rsidR="00B420F2" w:rsidRDefault="00C931AE">
            <w:pPr>
              <w:jc w:val="center"/>
              <w:rPr>
                <w:b/>
                <w:bCs/>
                <w:color w:val="000000"/>
                <w:sz w:val="20"/>
                <w:szCs w:val="20"/>
              </w:rPr>
            </w:pPr>
            <w:r>
              <w:rPr>
                <w:b/>
                <w:bCs/>
                <w:color w:val="000000"/>
                <w:sz w:val="20"/>
                <w:szCs w:val="20"/>
              </w:rPr>
              <w:lastRenderedPageBreak/>
              <w:t>Google Llc</w:t>
            </w:r>
          </w:p>
          <w:p w14:paraId="69535510" w14:textId="77777777" w:rsidR="00B420F2" w:rsidRDefault="00C931AE">
            <w:pPr>
              <w:jc w:val="center"/>
              <w:rPr>
                <w:b/>
                <w:bCs/>
                <w:color w:val="000000"/>
                <w:sz w:val="20"/>
                <w:szCs w:val="20"/>
              </w:rPr>
            </w:pPr>
            <w:r>
              <w:rPr>
                <w:b/>
                <w:bCs/>
                <w:color w:val="000000"/>
                <w:sz w:val="20"/>
                <w:szCs w:val="20"/>
              </w:rPr>
              <w:t>Google Llc 401(K) Savings Plan</w:t>
            </w:r>
          </w:p>
          <w:p w14:paraId="3CF3430B" w14:textId="77777777" w:rsidR="00B420F2" w:rsidRDefault="00C931AE">
            <w:pPr>
              <w:jc w:val="center"/>
              <w:rPr>
                <w:b/>
                <w:bCs/>
                <w:color w:val="000000"/>
                <w:sz w:val="20"/>
                <w:szCs w:val="20"/>
              </w:rPr>
            </w:pPr>
            <w:r>
              <w:rPr>
                <w:b/>
                <w:bCs/>
                <w:color w:val="000000"/>
                <w:sz w:val="20"/>
                <w:szCs w:val="20"/>
              </w:rPr>
              <w:t>Plan Feature Prevalence</w:t>
            </w:r>
          </w:p>
        </w:tc>
      </w:tr>
    </w:tbl>
    <w:p w14:paraId="07AD56D0"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400"/>
        <w:gridCol w:w="5400"/>
      </w:tblGrid>
      <w:tr w:rsidR="00B420F2" w14:paraId="27B74E69" w14:textId="77777777">
        <w:tc>
          <w:tcPr>
            <w:tcW w:w="5400" w:type="dxa"/>
            <w:gridSpan w:val="2"/>
            <w:shd w:val="clear" w:color="auto" w:fill="3232FF"/>
            <w:tcMar>
              <w:top w:w="60" w:type="dxa"/>
              <w:left w:w="60" w:type="dxa"/>
              <w:bottom w:w="60" w:type="dxa"/>
              <w:right w:w="60" w:type="dxa"/>
            </w:tcMar>
          </w:tcPr>
          <w:p w14:paraId="1FE823EF" w14:textId="77777777" w:rsidR="00B420F2" w:rsidRDefault="00C931AE">
            <w:pPr>
              <w:jc w:val="center"/>
              <w:rPr>
                <w:b/>
                <w:bCs/>
                <w:color w:val="FFFFFF"/>
                <w:sz w:val="20"/>
                <w:szCs w:val="20"/>
              </w:rPr>
            </w:pPr>
            <w:r>
              <w:rPr>
                <w:b/>
                <w:bCs/>
                <w:color w:val="FFFFFF"/>
                <w:sz w:val="20"/>
                <w:szCs w:val="20"/>
              </w:rPr>
              <w:t>Plan Feature Prevalence</w:t>
            </w:r>
          </w:p>
        </w:tc>
      </w:tr>
      <w:tr w:rsidR="00B420F2" w14:paraId="08906FD0"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3E47C9AB" w14:textId="77777777" w:rsidR="00B420F2" w:rsidRDefault="00C931AE">
            <w:pPr>
              <w:rPr>
                <w:b/>
                <w:bCs/>
                <w:color w:val="3232FF"/>
                <w:sz w:val="18"/>
                <w:szCs w:val="18"/>
              </w:rPr>
            </w:pPr>
            <w:r>
              <w:rPr>
                <w:b/>
                <w:bCs/>
                <w:color w:val="3232FF"/>
                <w:sz w:val="18"/>
                <w:szCs w:val="18"/>
              </w:rPr>
              <w:t xml:space="preserve">  </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63106F73" w14:textId="77777777" w:rsidR="00B420F2" w:rsidRDefault="00B420F2">
            <w:pPr>
              <w:rPr>
                <w:sz w:val="18"/>
                <w:szCs w:val="18"/>
              </w:rPr>
            </w:pPr>
          </w:p>
        </w:tc>
      </w:tr>
      <w:tr w:rsidR="00B420F2" w14:paraId="5AEDEE57"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281E3AA8" w14:textId="77777777" w:rsidR="00B420F2" w:rsidRDefault="00C931AE">
            <w:pPr>
              <w:rPr>
                <w:b/>
                <w:bCs/>
                <w:color w:val="3232FF"/>
                <w:sz w:val="18"/>
                <w:szCs w:val="18"/>
              </w:rPr>
            </w:pPr>
            <w:r>
              <w:rPr>
                <w:b/>
                <w:bCs/>
                <w:color w:val="3232FF"/>
                <w:sz w:val="18"/>
                <w:szCs w:val="18"/>
              </w:rPr>
              <w:t xml:space="preserve">  Plan Allows Brokerage Accounts</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2ABD0C6F" w14:textId="77777777" w:rsidR="00B420F2" w:rsidRDefault="00C931AE">
            <w:pPr>
              <w:rPr>
                <w:sz w:val="18"/>
                <w:szCs w:val="18"/>
              </w:rPr>
            </w:pPr>
            <w:r>
              <w:rPr>
                <w:sz w:val="18"/>
                <w:szCs w:val="18"/>
              </w:rPr>
              <w:t xml:space="preserve">The most common model for participant-self direction is for the plan fiduciaries to develop and offer an investment menu of 12 - 22 funds. However, an alternative to this model is to 'open up' the investment options by providing each participant access to </w:t>
            </w:r>
            <w:r>
              <w:rPr>
                <w:sz w:val="18"/>
                <w:szCs w:val="18"/>
              </w:rPr>
              <w:t>a brokerage account. Allowing brokerage accounts provides the greatest degree of flexibility but comes with added costs and compliance requirements. Monitoring and tracking each investment in numerous brokerage accounts can be costly and investments in cer</w:t>
            </w:r>
            <w:r>
              <w:rPr>
                <w:sz w:val="18"/>
                <w:szCs w:val="18"/>
              </w:rPr>
              <w:t>tain partnerships may cause adverse tax consequences to participants. Also, the brokerage account option must essentially be offered to all participants, not just business owners. Also, allowing unsophisticated investors access to a brokerage account could</w:t>
            </w:r>
            <w:r>
              <w:rPr>
                <w:sz w:val="18"/>
                <w:szCs w:val="18"/>
              </w:rPr>
              <w:t xml:space="preserve"> be troublesome. While this can be great feature for small owner-dominated plans, this feature can lead to higher expenses and compliance issues if the plan covers a number of non-owners.</w:t>
            </w:r>
          </w:p>
          <w:p w14:paraId="3192CA27" w14:textId="77777777" w:rsidR="00B420F2" w:rsidRDefault="00B420F2">
            <w:pPr>
              <w:rPr>
                <w:sz w:val="18"/>
                <w:szCs w:val="18"/>
              </w:rPr>
            </w:pPr>
          </w:p>
          <w:p w14:paraId="67620D1D" w14:textId="77777777" w:rsidR="00B420F2" w:rsidRDefault="00C931AE">
            <w:pPr>
              <w:rPr>
                <w:b/>
                <w:bCs/>
                <w:sz w:val="18"/>
                <w:szCs w:val="18"/>
              </w:rPr>
            </w:pPr>
            <w:r>
              <w:rPr>
                <w:b/>
                <w:bCs/>
                <w:sz w:val="18"/>
                <w:szCs w:val="18"/>
              </w:rPr>
              <w:t>Feature Prevalence in Peer Group (Percentage of Plans)</w:t>
            </w:r>
          </w:p>
          <w:tbl>
            <w:tblPr>
              <w:tblStyle w:val="TableGridPHPDOCX"/>
              <w:tblOverlap w:val="never"/>
              <w:tblW w:w="2160" w:type="dxa"/>
              <w:tblLayout w:type="fixed"/>
              <w:tblLook w:val="04A0" w:firstRow="1" w:lastRow="0" w:firstColumn="1" w:lastColumn="0" w:noHBand="0" w:noVBand="1"/>
            </w:tblPr>
            <w:tblGrid>
              <w:gridCol w:w="1260"/>
              <w:gridCol w:w="900"/>
            </w:tblGrid>
            <w:tr w:rsidR="00B420F2" w14:paraId="60F25CFC"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79DEE4C" w14:textId="77777777" w:rsidR="00B420F2" w:rsidRDefault="00C931AE">
                  <w:pPr>
                    <w:rPr>
                      <w:sz w:val="18"/>
                      <w:szCs w:val="18"/>
                    </w:rPr>
                  </w:pPr>
                  <w:r>
                    <w:rPr>
                      <w:sz w:val="18"/>
                      <w:szCs w:val="18"/>
                    </w:rPr>
                    <w:t>Yes</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0CBAE81" w14:textId="77777777" w:rsidR="00B420F2" w:rsidRDefault="00C931AE">
                  <w:pPr>
                    <w:jc w:val="right"/>
                    <w:rPr>
                      <w:sz w:val="18"/>
                      <w:szCs w:val="18"/>
                    </w:rPr>
                  </w:pPr>
                  <w:r>
                    <w:rPr>
                      <w:sz w:val="18"/>
                      <w:szCs w:val="18"/>
                    </w:rPr>
                    <w:t>37.84%</w:t>
                  </w:r>
                </w:p>
              </w:tc>
            </w:tr>
            <w:tr w:rsidR="00B420F2" w14:paraId="363D8E3B"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CE60C62" w14:textId="77777777" w:rsidR="00B420F2" w:rsidRDefault="00C931AE">
                  <w:pPr>
                    <w:rPr>
                      <w:sz w:val="18"/>
                      <w:szCs w:val="18"/>
                    </w:rPr>
                  </w:pPr>
                  <w:r>
                    <w:rPr>
                      <w:sz w:val="18"/>
                      <w:szCs w:val="18"/>
                    </w:rPr>
                    <w:t>No</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075E777" w14:textId="77777777" w:rsidR="00B420F2" w:rsidRDefault="00C931AE">
                  <w:pPr>
                    <w:jc w:val="right"/>
                    <w:rPr>
                      <w:sz w:val="18"/>
                      <w:szCs w:val="18"/>
                    </w:rPr>
                  </w:pPr>
                  <w:r>
                    <w:rPr>
                      <w:sz w:val="18"/>
                      <w:szCs w:val="18"/>
                    </w:rPr>
                    <w:t>62.16%</w:t>
                  </w:r>
                </w:p>
              </w:tc>
            </w:tr>
            <w:tr w:rsidR="00B420F2" w14:paraId="517BCDFD"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72864AA4" w14:textId="77777777" w:rsidR="00B420F2" w:rsidRDefault="00C931AE">
                  <w:pPr>
                    <w:rPr>
                      <w:sz w:val="18"/>
                      <w:szCs w:val="18"/>
                    </w:rPr>
                  </w:pPr>
                  <w:r>
                    <w:rPr>
                      <w:sz w:val="18"/>
                      <w:szCs w:val="18"/>
                    </w:rPr>
                    <w:t>This Plan</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4EA7449" w14:textId="77777777" w:rsidR="00B420F2" w:rsidRDefault="00C931AE">
                  <w:pPr>
                    <w:jc w:val="right"/>
                    <w:rPr>
                      <w:sz w:val="18"/>
                      <w:szCs w:val="18"/>
                    </w:rPr>
                  </w:pPr>
                  <w:r>
                    <w:rPr>
                      <w:sz w:val="18"/>
                      <w:szCs w:val="18"/>
                    </w:rPr>
                    <w:t>Yes</w:t>
                  </w:r>
                </w:p>
              </w:tc>
            </w:tr>
          </w:tbl>
          <w:p w14:paraId="159A48F7" w14:textId="77777777" w:rsidR="00B420F2" w:rsidRDefault="00C931AE">
            <w:pPr>
              <w:rPr>
                <w:sz w:val="18"/>
                <w:szCs w:val="18"/>
              </w:rPr>
            </w:pPr>
            <w:r>
              <w:rPr>
                <w:sz w:val="18"/>
                <w:szCs w:val="18"/>
              </w:rPr>
              <w:t xml:space="preserve"> </w:t>
            </w:r>
          </w:p>
        </w:tc>
      </w:tr>
      <w:tr w:rsidR="00B420F2" w14:paraId="196FCC47"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74DD6BCD" w14:textId="77777777" w:rsidR="00B420F2" w:rsidRDefault="00C931AE">
            <w:pPr>
              <w:rPr>
                <w:b/>
                <w:bCs/>
                <w:color w:val="3232FF"/>
                <w:sz w:val="18"/>
                <w:szCs w:val="18"/>
              </w:rPr>
            </w:pPr>
            <w:r>
              <w:rPr>
                <w:b/>
                <w:bCs/>
                <w:color w:val="3232FF"/>
                <w:sz w:val="18"/>
                <w:szCs w:val="18"/>
              </w:rPr>
              <w:t xml:space="preserve">  Auto Enrollment</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6D7D7C66" w14:textId="77777777" w:rsidR="00B420F2" w:rsidRDefault="00C931AE">
            <w:pPr>
              <w:rPr>
                <w:sz w:val="18"/>
                <w:szCs w:val="18"/>
              </w:rPr>
            </w:pPr>
            <w:r>
              <w:rPr>
                <w:sz w:val="18"/>
                <w:szCs w:val="18"/>
              </w:rPr>
              <w:t>One of the challenges employees in the US face is saving enough for retirement. There are numerous studies that show that when faced with taking action versus taking no action, we as humans always favor inaction. In response to this human behavior, the aut</w:t>
            </w:r>
            <w:r>
              <w:rPr>
                <w:sz w:val="18"/>
                <w:szCs w:val="18"/>
              </w:rPr>
              <w:t>o enrollment feature is being promoted as a way to help ensure participants save enough for retirement. Under auto enrollment, new employees automatically contribute a percentage of pay (typically 3%) to the employer's 401(k) plan unless they affirmatively</w:t>
            </w:r>
            <w:r>
              <w:rPr>
                <w:sz w:val="18"/>
                <w:szCs w:val="18"/>
              </w:rPr>
              <w:t xml:space="preserve"> opt out. As a result, plans with auto enrollment usually have higher participation rates than plans without auto enrollment. Adding an auto enrollment feature to the plan may increase employee participation in the plan and help employees save for retireme</w:t>
            </w:r>
            <w:r>
              <w:rPr>
                <w:sz w:val="18"/>
                <w:szCs w:val="18"/>
              </w:rPr>
              <w:t>nt.</w:t>
            </w:r>
          </w:p>
          <w:p w14:paraId="021A48AC" w14:textId="77777777" w:rsidR="00B420F2" w:rsidRDefault="00B420F2">
            <w:pPr>
              <w:rPr>
                <w:sz w:val="18"/>
                <w:szCs w:val="18"/>
              </w:rPr>
            </w:pPr>
          </w:p>
          <w:p w14:paraId="4562AC73" w14:textId="77777777" w:rsidR="00B420F2" w:rsidRDefault="00C931AE">
            <w:pPr>
              <w:rPr>
                <w:b/>
                <w:bCs/>
                <w:sz w:val="18"/>
                <w:szCs w:val="18"/>
              </w:rPr>
            </w:pPr>
            <w:r>
              <w:rPr>
                <w:b/>
                <w:bCs/>
                <w:sz w:val="18"/>
                <w:szCs w:val="18"/>
              </w:rPr>
              <w:t>Feature Prevalence in Peer Group (Percentage of Plans)</w:t>
            </w:r>
          </w:p>
          <w:tbl>
            <w:tblPr>
              <w:tblStyle w:val="TableGridPHPDOCX"/>
              <w:tblOverlap w:val="never"/>
              <w:tblW w:w="2160" w:type="dxa"/>
              <w:tblLayout w:type="fixed"/>
              <w:tblLook w:val="04A0" w:firstRow="1" w:lastRow="0" w:firstColumn="1" w:lastColumn="0" w:noHBand="0" w:noVBand="1"/>
            </w:tblPr>
            <w:tblGrid>
              <w:gridCol w:w="1260"/>
              <w:gridCol w:w="900"/>
            </w:tblGrid>
            <w:tr w:rsidR="00B420F2" w14:paraId="1692EA18"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757E99EF" w14:textId="77777777" w:rsidR="00B420F2" w:rsidRDefault="00C931AE">
                  <w:pPr>
                    <w:rPr>
                      <w:sz w:val="18"/>
                      <w:szCs w:val="18"/>
                    </w:rPr>
                  </w:pPr>
                  <w:r>
                    <w:rPr>
                      <w:sz w:val="18"/>
                      <w:szCs w:val="18"/>
                    </w:rPr>
                    <w:t>Yes</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14E454B9" w14:textId="77777777" w:rsidR="00B420F2" w:rsidRDefault="00C931AE">
                  <w:pPr>
                    <w:jc w:val="right"/>
                    <w:rPr>
                      <w:sz w:val="18"/>
                      <w:szCs w:val="18"/>
                    </w:rPr>
                  </w:pPr>
                  <w:r>
                    <w:rPr>
                      <w:sz w:val="18"/>
                      <w:szCs w:val="18"/>
                    </w:rPr>
                    <w:t>62.16%</w:t>
                  </w:r>
                </w:p>
              </w:tc>
            </w:tr>
            <w:tr w:rsidR="00B420F2" w14:paraId="0516152E"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1D2B46A1" w14:textId="77777777" w:rsidR="00B420F2" w:rsidRDefault="00C931AE">
                  <w:pPr>
                    <w:rPr>
                      <w:sz w:val="18"/>
                      <w:szCs w:val="18"/>
                    </w:rPr>
                  </w:pPr>
                  <w:r>
                    <w:rPr>
                      <w:sz w:val="18"/>
                      <w:szCs w:val="18"/>
                    </w:rPr>
                    <w:t>No</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04152E6" w14:textId="77777777" w:rsidR="00B420F2" w:rsidRDefault="00C931AE">
                  <w:pPr>
                    <w:jc w:val="right"/>
                    <w:rPr>
                      <w:sz w:val="18"/>
                      <w:szCs w:val="18"/>
                    </w:rPr>
                  </w:pPr>
                  <w:r>
                    <w:rPr>
                      <w:sz w:val="18"/>
                      <w:szCs w:val="18"/>
                    </w:rPr>
                    <w:t>37.84%</w:t>
                  </w:r>
                </w:p>
              </w:tc>
            </w:tr>
            <w:tr w:rsidR="00B420F2" w14:paraId="7383ABBE"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B372E19" w14:textId="77777777" w:rsidR="00B420F2" w:rsidRDefault="00C931AE">
                  <w:pPr>
                    <w:rPr>
                      <w:sz w:val="18"/>
                      <w:szCs w:val="18"/>
                    </w:rPr>
                  </w:pPr>
                  <w:r>
                    <w:rPr>
                      <w:sz w:val="18"/>
                      <w:szCs w:val="18"/>
                    </w:rPr>
                    <w:t>This Plan</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4EF04B40" w14:textId="77777777" w:rsidR="00B420F2" w:rsidRDefault="00C931AE">
                  <w:pPr>
                    <w:jc w:val="right"/>
                    <w:rPr>
                      <w:sz w:val="18"/>
                      <w:szCs w:val="18"/>
                    </w:rPr>
                  </w:pPr>
                  <w:r>
                    <w:rPr>
                      <w:sz w:val="18"/>
                      <w:szCs w:val="18"/>
                    </w:rPr>
                    <w:t>Yes</w:t>
                  </w:r>
                </w:p>
              </w:tc>
            </w:tr>
          </w:tbl>
          <w:p w14:paraId="1D607B88" w14:textId="77777777" w:rsidR="00B420F2" w:rsidRDefault="00C931AE">
            <w:pPr>
              <w:rPr>
                <w:sz w:val="18"/>
                <w:szCs w:val="18"/>
              </w:rPr>
            </w:pPr>
            <w:r>
              <w:rPr>
                <w:sz w:val="18"/>
                <w:szCs w:val="18"/>
              </w:rPr>
              <w:t xml:space="preserve"> </w:t>
            </w:r>
          </w:p>
        </w:tc>
      </w:tr>
    </w:tbl>
    <w:p w14:paraId="70FC7849" w14:textId="77777777" w:rsidR="00B420F2" w:rsidRDefault="00C931AE">
      <w:r>
        <w:br w:type="page"/>
      </w:r>
    </w:p>
    <w:tbl>
      <w:tblPr>
        <w:tblStyle w:val="TableGridPHPDOCX"/>
        <w:tblOverlap w:val="never"/>
        <w:tblW w:w="10800" w:type="dxa"/>
        <w:tblLook w:val="04A0" w:firstRow="1" w:lastRow="0" w:firstColumn="1" w:lastColumn="0" w:noHBand="0" w:noVBand="1"/>
      </w:tblPr>
      <w:tblGrid>
        <w:gridCol w:w="10800"/>
      </w:tblGrid>
      <w:tr w:rsidR="00B420F2" w14:paraId="1E4DF4A5" w14:textId="77777777">
        <w:tc>
          <w:tcPr>
            <w:tcW w:w="7200" w:type="dxa"/>
            <w:shd w:val="clear" w:color="auto" w:fill="C4D82D"/>
          </w:tcPr>
          <w:p w14:paraId="209F8713" w14:textId="77777777" w:rsidR="00B420F2" w:rsidRDefault="00C931AE">
            <w:pPr>
              <w:jc w:val="center"/>
              <w:rPr>
                <w:b/>
                <w:bCs/>
                <w:color w:val="000000"/>
                <w:sz w:val="20"/>
                <w:szCs w:val="20"/>
              </w:rPr>
            </w:pPr>
            <w:r>
              <w:rPr>
                <w:b/>
                <w:bCs/>
                <w:color w:val="000000"/>
                <w:sz w:val="20"/>
                <w:szCs w:val="20"/>
              </w:rPr>
              <w:lastRenderedPageBreak/>
              <w:t>Google Llc</w:t>
            </w:r>
          </w:p>
          <w:p w14:paraId="230DB5CD" w14:textId="77777777" w:rsidR="00B420F2" w:rsidRDefault="00C931AE">
            <w:pPr>
              <w:jc w:val="center"/>
              <w:rPr>
                <w:b/>
                <w:bCs/>
                <w:color w:val="000000"/>
                <w:sz w:val="20"/>
                <w:szCs w:val="20"/>
              </w:rPr>
            </w:pPr>
            <w:r>
              <w:rPr>
                <w:b/>
                <w:bCs/>
                <w:color w:val="000000"/>
                <w:sz w:val="20"/>
                <w:szCs w:val="20"/>
              </w:rPr>
              <w:t>Google Llc 401(K) Savings Plan</w:t>
            </w:r>
          </w:p>
          <w:p w14:paraId="60044167" w14:textId="77777777" w:rsidR="00B420F2" w:rsidRDefault="00C931AE">
            <w:pPr>
              <w:jc w:val="center"/>
              <w:rPr>
                <w:b/>
                <w:bCs/>
                <w:color w:val="000000"/>
                <w:sz w:val="20"/>
                <w:szCs w:val="20"/>
              </w:rPr>
            </w:pPr>
            <w:r>
              <w:rPr>
                <w:b/>
                <w:bCs/>
                <w:color w:val="000000"/>
                <w:sz w:val="20"/>
                <w:szCs w:val="20"/>
              </w:rPr>
              <w:t>Plan Feature Prevalence</w:t>
            </w:r>
          </w:p>
        </w:tc>
      </w:tr>
    </w:tbl>
    <w:p w14:paraId="2FAF2AD2" w14:textId="77777777" w:rsidR="00B420F2" w:rsidRDefault="00B420F2"/>
    <w:tbl>
      <w:tblPr>
        <w:tblStyle w:val="TableGridPHPDOCX"/>
        <w:tblOverlap w:val="never"/>
        <w:tblW w:w="10800" w:type="dxa"/>
        <w:tblLayout w:type="fixed"/>
        <w:tblLook w:val="04A0" w:firstRow="1" w:lastRow="0" w:firstColumn="1" w:lastColumn="0" w:noHBand="0" w:noVBand="1"/>
      </w:tblPr>
      <w:tblGrid>
        <w:gridCol w:w="5400"/>
        <w:gridCol w:w="5400"/>
      </w:tblGrid>
      <w:tr w:rsidR="00B420F2" w14:paraId="233871D3" w14:textId="77777777">
        <w:tc>
          <w:tcPr>
            <w:tcW w:w="5400" w:type="dxa"/>
            <w:gridSpan w:val="2"/>
            <w:shd w:val="clear" w:color="auto" w:fill="3232FF"/>
            <w:tcMar>
              <w:top w:w="60" w:type="dxa"/>
              <w:left w:w="60" w:type="dxa"/>
              <w:bottom w:w="60" w:type="dxa"/>
              <w:right w:w="60" w:type="dxa"/>
            </w:tcMar>
          </w:tcPr>
          <w:p w14:paraId="6E0A7BB3" w14:textId="77777777" w:rsidR="00B420F2" w:rsidRDefault="00C931AE">
            <w:pPr>
              <w:jc w:val="center"/>
              <w:rPr>
                <w:b/>
                <w:bCs/>
                <w:color w:val="FFFFFF"/>
                <w:sz w:val="20"/>
                <w:szCs w:val="20"/>
              </w:rPr>
            </w:pPr>
            <w:r>
              <w:rPr>
                <w:b/>
                <w:bCs/>
                <w:color w:val="FFFFFF"/>
                <w:sz w:val="20"/>
                <w:szCs w:val="20"/>
              </w:rPr>
              <w:t>Plan Feature Prevalence</w:t>
            </w:r>
          </w:p>
        </w:tc>
      </w:tr>
      <w:tr w:rsidR="00B420F2" w14:paraId="745E4258"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47735F6D" w14:textId="77777777" w:rsidR="00B420F2" w:rsidRDefault="00C931AE">
            <w:pPr>
              <w:rPr>
                <w:b/>
                <w:bCs/>
                <w:color w:val="3232FF"/>
                <w:sz w:val="18"/>
                <w:szCs w:val="18"/>
              </w:rPr>
            </w:pPr>
            <w:r>
              <w:rPr>
                <w:b/>
                <w:bCs/>
                <w:color w:val="3232FF"/>
                <w:sz w:val="18"/>
                <w:szCs w:val="18"/>
              </w:rPr>
              <w:t xml:space="preserve">  </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3020C625" w14:textId="77777777" w:rsidR="00B420F2" w:rsidRDefault="00B420F2">
            <w:pPr>
              <w:rPr>
                <w:sz w:val="18"/>
                <w:szCs w:val="18"/>
              </w:rPr>
            </w:pPr>
          </w:p>
        </w:tc>
      </w:tr>
      <w:tr w:rsidR="00B420F2" w14:paraId="5F17FD46" w14:textId="77777777">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5F24200E" w14:textId="77777777" w:rsidR="00B420F2" w:rsidRDefault="00C931AE">
            <w:pPr>
              <w:rPr>
                <w:b/>
                <w:bCs/>
                <w:color w:val="3232FF"/>
                <w:sz w:val="18"/>
                <w:szCs w:val="18"/>
              </w:rPr>
            </w:pPr>
            <w:r>
              <w:rPr>
                <w:b/>
                <w:bCs/>
                <w:color w:val="3232FF"/>
                <w:sz w:val="18"/>
                <w:szCs w:val="18"/>
              </w:rPr>
              <w:t xml:space="preserve">  Default Investment Accounts</w:t>
            </w:r>
          </w:p>
        </w:tc>
        <w:tc>
          <w:tcPr>
            <w:tcW w:w="5400" w:type="dxa"/>
            <w:tcBorders>
              <w:top w:val="none" w:sz="6" w:space="0" w:color="000000"/>
              <w:left w:val="none" w:sz="6" w:space="0" w:color="000000"/>
              <w:bottom w:val="none" w:sz="6" w:space="0" w:color="000000"/>
              <w:right w:val="none" w:sz="6" w:space="0" w:color="000000"/>
            </w:tcBorders>
            <w:shd w:val="clear" w:color="auto" w:fill="F0F0F0"/>
            <w:tcMar>
              <w:top w:w="4" w:type="dxa"/>
              <w:left w:w="4" w:type="dxa"/>
              <w:bottom w:w="4" w:type="dxa"/>
              <w:right w:w="4" w:type="dxa"/>
            </w:tcMar>
          </w:tcPr>
          <w:p w14:paraId="07EE9D1E" w14:textId="77777777" w:rsidR="00B420F2" w:rsidRDefault="00C931AE">
            <w:pPr>
              <w:rPr>
                <w:sz w:val="18"/>
                <w:szCs w:val="18"/>
              </w:rPr>
            </w:pPr>
            <w:r>
              <w:rPr>
                <w:sz w:val="18"/>
                <w:szCs w:val="18"/>
              </w:rPr>
              <w:t xml:space="preserve">One issue with participant self-directed plans is that participants must also select how they want their contributions to be invested. This is a particular problem with plans offering auto enrollment since participants do not </w:t>
            </w:r>
            <w:r>
              <w:rPr>
                <w:sz w:val="18"/>
                <w:szCs w:val="18"/>
              </w:rPr>
              <w:t>need to take any action to start contributing to the plan. In the past, plan fiduciaries would pick a money market or other similar 'safe' investment as a default choice for those participants who failed to pick investments. Most financial experts agree th</w:t>
            </w:r>
            <w:r>
              <w:rPr>
                <w:sz w:val="18"/>
                <w:szCs w:val="18"/>
              </w:rPr>
              <w:t>at investing in a money market or other similar 'safe' default investment is not an effective long-term investment strategy. To allow fiduciaries to select more appropriate default investments, DOL issued regulations that provide protections for plans that</w:t>
            </w:r>
            <w:r>
              <w:rPr>
                <w:sz w:val="18"/>
                <w:szCs w:val="18"/>
              </w:rPr>
              <w:t xml:space="preserve"> offer more appropriate default investments. This feature may lower liability for plan fiduciaries when participants fail to make an election to invest their account balance.</w:t>
            </w:r>
          </w:p>
          <w:p w14:paraId="680E4E2E" w14:textId="77777777" w:rsidR="00B420F2" w:rsidRDefault="00B420F2">
            <w:pPr>
              <w:rPr>
                <w:sz w:val="18"/>
                <w:szCs w:val="18"/>
              </w:rPr>
            </w:pPr>
          </w:p>
          <w:p w14:paraId="07DA2317" w14:textId="77777777" w:rsidR="00B420F2" w:rsidRDefault="00C931AE">
            <w:pPr>
              <w:rPr>
                <w:b/>
                <w:bCs/>
                <w:sz w:val="18"/>
                <w:szCs w:val="18"/>
              </w:rPr>
            </w:pPr>
            <w:r>
              <w:rPr>
                <w:b/>
                <w:bCs/>
                <w:sz w:val="18"/>
                <w:szCs w:val="18"/>
              </w:rPr>
              <w:t>Feature Prevalence in Peer Group (Percentage of Plans)</w:t>
            </w:r>
          </w:p>
          <w:tbl>
            <w:tblPr>
              <w:tblStyle w:val="TableGridPHPDOCX"/>
              <w:tblOverlap w:val="never"/>
              <w:tblW w:w="2160" w:type="dxa"/>
              <w:tblLayout w:type="fixed"/>
              <w:tblLook w:val="04A0" w:firstRow="1" w:lastRow="0" w:firstColumn="1" w:lastColumn="0" w:noHBand="0" w:noVBand="1"/>
            </w:tblPr>
            <w:tblGrid>
              <w:gridCol w:w="1260"/>
              <w:gridCol w:w="900"/>
            </w:tblGrid>
            <w:tr w:rsidR="00B420F2" w14:paraId="698991B0"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5680DDCE" w14:textId="77777777" w:rsidR="00B420F2" w:rsidRDefault="00C931AE">
                  <w:pPr>
                    <w:rPr>
                      <w:sz w:val="18"/>
                      <w:szCs w:val="18"/>
                    </w:rPr>
                  </w:pPr>
                  <w:r>
                    <w:rPr>
                      <w:sz w:val="18"/>
                      <w:szCs w:val="18"/>
                    </w:rPr>
                    <w:t>Yes</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28CA075F" w14:textId="77777777" w:rsidR="00B420F2" w:rsidRDefault="00C931AE">
                  <w:pPr>
                    <w:jc w:val="right"/>
                    <w:rPr>
                      <w:sz w:val="18"/>
                      <w:szCs w:val="18"/>
                    </w:rPr>
                  </w:pPr>
                  <w:r>
                    <w:rPr>
                      <w:sz w:val="18"/>
                      <w:szCs w:val="18"/>
                    </w:rPr>
                    <w:t>89.19%</w:t>
                  </w:r>
                </w:p>
              </w:tc>
            </w:tr>
            <w:tr w:rsidR="00B420F2" w14:paraId="6FCC37FA"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5DA70665" w14:textId="77777777" w:rsidR="00B420F2" w:rsidRDefault="00C931AE">
                  <w:pPr>
                    <w:rPr>
                      <w:sz w:val="18"/>
                      <w:szCs w:val="18"/>
                    </w:rPr>
                  </w:pPr>
                  <w:r>
                    <w:rPr>
                      <w:sz w:val="18"/>
                      <w:szCs w:val="18"/>
                    </w:rPr>
                    <w:t>No</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6BAD3B63" w14:textId="77777777" w:rsidR="00B420F2" w:rsidRDefault="00C931AE">
                  <w:pPr>
                    <w:jc w:val="right"/>
                    <w:rPr>
                      <w:sz w:val="18"/>
                      <w:szCs w:val="18"/>
                    </w:rPr>
                  </w:pPr>
                  <w:r>
                    <w:rPr>
                      <w:sz w:val="18"/>
                      <w:szCs w:val="18"/>
                    </w:rPr>
                    <w:t>6.76%</w:t>
                  </w:r>
                </w:p>
              </w:tc>
            </w:tr>
            <w:tr w:rsidR="00B420F2" w14:paraId="4B775384"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88C6B22" w14:textId="77777777" w:rsidR="00B420F2" w:rsidRDefault="00C931AE">
                  <w:pPr>
                    <w:rPr>
                      <w:sz w:val="18"/>
                      <w:szCs w:val="18"/>
                    </w:rPr>
                  </w:pPr>
                  <w:r>
                    <w:rPr>
                      <w:sz w:val="18"/>
                      <w:szCs w:val="18"/>
                    </w:rPr>
                    <w:t>N/A</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0DF6ADD4" w14:textId="77777777" w:rsidR="00B420F2" w:rsidRDefault="00C931AE">
                  <w:pPr>
                    <w:jc w:val="right"/>
                    <w:rPr>
                      <w:sz w:val="18"/>
                      <w:szCs w:val="18"/>
                    </w:rPr>
                  </w:pPr>
                  <w:r>
                    <w:rPr>
                      <w:sz w:val="18"/>
                      <w:szCs w:val="18"/>
                    </w:rPr>
                    <w:t>4.05%</w:t>
                  </w:r>
                </w:p>
              </w:tc>
            </w:tr>
            <w:tr w:rsidR="00B420F2" w14:paraId="7312B888" w14:textId="77777777">
              <w:tc>
                <w:tcPr>
                  <w:tcW w:w="1008"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3BCBBCF4" w14:textId="77777777" w:rsidR="00B420F2" w:rsidRDefault="00C931AE">
                  <w:pPr>
                    <w:rPr>
                      <w:sz w:val="18"/>
                      <w:szCs w:val="18"/>
                    </w:rPr>
                  </w:pPr>
                  <w:r>
                    <w:rPr>
                      <w:sz w:val="18"/>
                      <w:szCs w:val="18"/>
                    </w:rPr>
                    <w:t>This Plan</w:t>
                  </w:r>
                </w:p>
              </w:tc>
              <w:tc>
                <w:tcPr>
                  <w:tcW w:w="720" w:type="dxa"/>
                  <w:tcBorders>
                    <w:top w:val="none" w:sz="6" w:space="0" w:color="000000"/>
                    <w:left w:val="none" w:sz="6" w:space="0" w:color="000000"/>
                    <w:bottom w:val="none" w:sz="6" w:space="0" w:color="000000"/>
                    <w:right w:val="none" w:sz="6" w:space="0" w:color="000000"/>
                  </w:tcBorders>
                  <w:shd w:val="clear" w:color="auto" w:fill="F0F0F0"/>
                  <w:tcMar>
                    <w:top w:w="20" w:type="dxa"/>
                    <w:left w:w="20" w:type="dxa"/>
                    <w:bottom w:w="20" w:type="dxa"/>
                    <w:right w:w="20" w:type="dxa"/>
                  </w:tcMar>
                </w:tcPr>
                <w:p w14:paraId="121CB9DB" w14:textId="77777777" w:rsidR="00B420F2" w:rsidRDefault="00C931AE">
                  <w:pPr>
                    <w:jc w:val="right"/>
                    <w:rPr>
                      <w:sz w:val="18"/>
                      <w:szCs w:val="18"/>
                    </w:rPr>
                  </w:pPr>
                  <w:r>
                    <w:rPr>
                      <w:sz w:val="18"/>
                      <w:szCs w:val="18"/>
                    </w:rPr>
                    <w:t>Yes</w:t>
                  </w:r>
                </w:p>
              </w:tc>
            </w:tr>
          </w:tbl>
          <w:p w14:paraId="303E3F87" w14:textId="77777777" w:rsidR="00B420F2" w:rsidRDefault="00C931AE">
            <w:pPr>
              <w:rPr>
                <w:sz w:val="18"/>
                <w:szCs w:val="18"/>
              </w:rPr>
            </w:pPr>
            <w:r>
              <w:rPr>
                <w:sz w:val="18"/>
                <w:szCs w:val="18"/>
              </w:rPr>
              <w:t xml:space="preserve"> </w:t>
            </w:r>
          </w:p>
        </w:tc>
      </w:tr>
    </w:tbl>
    <w:p w14:paraId="365C6176" w14:textId="77777777" w:rsidR="00C931AE" w:rsidRDefault="00C931AE"/>
    <w:sectPr w:rsidR="00C931AE" w:rsidSect="000F6147">
      <w:headerReference w:type="default" r:id="rId20"/>
      <w:footerReference w:type="default" r:id="rId21"/>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54055" w14:textId="77777777" w:rsidR="00C931AE" w:rsidRDefault="00C931AE" w:rsidP="006E0FDA">
      <w:r>
        <w:separator/>
      </w:r>
    </w:p>
  </w:endnote>
  <w:endnote w:type="continuationSeparator" w:id="0">
    <w:p w14:paraId="28ED4E29" w14:textId="77777777" w:rsidR="00C931AE" w:rsidRDefault="00C931AE" w:rsidP="006E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C83A" w14:textId="77777777" w:rsidR="00B420F2" w:rsidRDefault="00C931AE">
    <w:pPr>
      <w:rPr>
        <w:sz w:val="16"/>
        <w:szCs w:val="16"/>
      </w:rPr>
    </w:pPr>
    <w:r>
      <w:rPr>
        <w:sz w:val="16"/>
        <w:szCs w:val="16"/>
      </w:rPr>
      <w:t>© ERISApedia.com. All Rights Reserved.</w:t>
    </w:r>
  </w:p>
  <w:sdt>
    <w:sdtPr>
      <w:id w:val="626077109"/>
      <w:docPartObj>
        <w:docPartGallery w:val="Page Numbers (Bottom of Page)"/>
        <w:docPartUnique/>
      </w:docPartObj>
    </w:sdtPr>
    <w:sdtEndPr/>
    <w:sdtContent>
      <w:sdt>
        <w:sdtPr>
          <w:id w:val="706315776"/>
          <w:docPartObj>
            <w:docPartGallery w:val="Page Numbers (Top of Page)"/>
            <w:docPartUnique/>
          </w:docPartObj>
        </w:sdtPr>
        <w:sdtEndPr/>
        <w:sdtContent>
          <w:p w14:paraId="68761C47" w14:textId="77777777" w:rsidR="00AB222B" w:rsidRDefault="00C931AE">
            <w:pPr>
              <w:jc w:val="center"/>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3AE7" w14:textId="77777777" w:rsidR="00C931AE" w:rsidRDefault="00C931AE" w:rsidP="006E0FDA">
      <w:r>
        <w:separator/>
      </w:r>
    </w:p>
  </w:footnote>
  <w:footnote w:type="continuationSeparator" w:id="0">
    <w:p w14:paraId="3B1EA3DD" w14:textId="77777777" w:rsidR="00C931AE" w:rsidRDefault="00C931AE" w:rsidP="006E0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5865F" w14:textId="77777777" w:rsidR="00B420F2" w:rsidRDefault="00C931AE">
    <w:r>
      <w:rPr>
        <w:noProof/>
      </w:rPr>
      <w:drawing>
        <wp:inline distT="0" distB="0" distL="0" distR="0" wp14:anchorId="3646A4EB" wp14:editId="4F318C7C">
          <wp:extent cx="2593421" cy="397459"/>
          <wp:effectExtent l="0" t="0" r="0" b="0"/>
          <wp:docPr id="777228114" name="Picture 1" descr="/tmp/1f3c3ee8111332a0aad0c117a32d25f9_b39dd_20191015201155P040087730647001_HEADE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1f3c3ee8111332a0aad0c117a32d25f9_b39dd_20191015201155P040087730647001_HEADERIMAGE"/>
                  <pic:cNvPicPr/>
                </pic:nvPicPr>
                <pic:blipFill>
                  <a:blip r:embed="rId1" cstate="print"/>
                  <a:stretch>
                    <a:fillRect/>
                  </a:stretch>
                </pic:blipFill>
                <pic:spPr>
                  <a:xfrm>
                    <a:off x="0" y="0"/>
                    <a:ext cx="2593421" cy="397459"/>
                  </a:xfrm>
                  <a:prstGeom prst="rect">
                    <a:avLst/>
                  </a:prstGeom>
                </pic:spPr>
              </pic:pic>
            </a:graphicData>
          </a:graphic>
        </wp:inline>
      </w:drawing>
    </w:r>
  </w:p>
  <w:p w14:paraId="47E0CAA5" w14:textId="77777777" w:rsidR="00B420F2" w:rsidRDefault="00B420F2">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D5C73"/>
    <w:multiLevelType w:val="hybridMultilevel"/>
    <w:tmpl w:val="FEDCCD36"/>
    <w:lvl w:ilvl="0" w:tplc="91312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7C67273"/>
    <w:multiLevelType w:val="hybridMultilevel"/>
    <w:tmpl w:val="F202EA26"/>
    <w:lvl w:ilvl="0" w:tplc="86140719">
      <w:start w:val="1"/>
      <w:numFmt w:val="decimal"/>
      <w:lvlText w:val="%1."/>
      <w:lvlJc w:val="left"/>
      <w:pPr>
        <w:ind w:left="720" w:hanging="360"/>
      </w:pPr>
    </w:lvl>
    <w:lvl w:ilvl="1" w:tplc="86140719" w:tentative="1">
      <w:start w:val="1"/>
      <w:numFmt w:val="lowerLetter"/>
      <w:lvlText w:val="%2."/>
      <w:lvlJc w:val="left"/>
      <w:pPr>
        <w:ind w:left="1440" w:hanging="360"/>
      </w:pPr>
    </w:lvl>
    <w:lvl w:ilvl="2" w:tplc="86140719" w:tentative="1">
      <w:start w:val="1"/>
      <w:numFmt w:val="lowerRoman"/>
      <w:lvlText w:val="%3."/>
      <w:lvlJc w:val="right"/>
      <w:pPr>
        <w:ind w:left="2160" w:hanging="180"/>
      </w:pPr>
    </w:lvl>
    <w:lvl w:ilvl="3" w:tplc="86140719" w:tentative="1">
      <w:start w:val="1"/>
      <w:numFmt w:val="decimal"/>
      <w:lvlText w:val="%4."/>
      <w:lvlJc w:val="left"/>
      <w:pPr>
        <w:ind w:left="2880" w:hanging="360"/>
      </w:pPr>
    </w:lvl>
    <w:lvl w:ilvl="4" w:tplc="86140719" w:tentative="1">
      <w:start w:val="1"/>
      <w:numFmt w:val="lowerLetter"/>
      <w:lvlText w:val="%5."/>
      <w:lvlJc w:val="left"/>
      <w:pPr>
        <w:ind w:left="3600" w:hanging="360"/>
      </w:pPr>
    </w:lvl>
    <w:lvl w:ilvl="5" w:tplc="86140719" w:tentative="1">
      <w:start w:val="1"/>
      <w:numFmt w:val="lowerRoman"/>
      <w:lvlText w:val="%6."/>
      <w:lvlJc w:val="right"/>
      <w:pPr>
        <w:ind w:left="4320" w:hanging="180"/>
      </w:pPr>
    </w:lvl>
    <w:lvl w:ilvl="6" w:tplc="86140719" w:tentative="1">
      <w:start w:val="1"/>
      <w:numFmt w:val="decimal"/>
      <w:lvlText w:val="%7."/>
      <w:lvlJc w:val="left"/>
      <w:pPr>
        <w:ind w:left="5040" w:hanging="360"/>
      </w:pPr>
    </w:lvl>
    <w:lvl w:ilvl="7" w:tplc="86140719" w:tentative="1">
      <w:start w:val="1"/>
      <w:numFmt w:val="lowerLetter"/>
      <w:lvlText w:val="%8."/>
      <w:lvlJc w:val="left"/>
      <w:pPr>
        <w:ind w:left="5760" w:hanging="360"/>
      </w:pPr>
    </w:lvl>
    <w:lvl w:ilvl="8" w:tplc="86140719"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361FF4"/>
    <w:rsid w:val="003B5299"/>
    <w:rsid w:val="00493A0C"/>
    <w:rsid w:val="004D6B48"/>
    <w:rsid w:val="00531A4E"/>
    <w:rsid w:val="00535F5A"/>
    <w:rsid w:val="00555F58"/>
    <w:rsid w:val="00601E44"/>
    <w:rsid w:val="006E6663"/>
    <w:rsid w:val="008B3AC2"/>
    <w:rsid w:val="008F680D"/>
    <w:rsid w:val="00AC197E"/>
    <w:rsid w:val="00B21D59"/>
    <w:rsid w:val="00B420F2"/>
    <w:rsid w:val="00BD419F"/>
    <w:rsid w:val="00C931AE"/>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A25A"/>
  <w15:docId w15:val="{FB80C263-BE47-4FEA-BBAC-68EA69C6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f3c3ee8111332a0aad0c117a32d25f9_b39dd_20191015201155P040087730647001_HEADERIMAGE"/></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2697</Words>
  <Characters>15373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T McCutcheon</cp:lastModifiedBy>
  <cp:revision>2</cp:revision>
  <dcterms:created xsi:type="dcterms:W3CDTF">2020-10-29T14:35:00Z</dcterms:created>
  <dcterms:modified xsi:type="dcterms:W3CDTF">2020-10-29T14:35:00Z</dcterms:modified>
</cp:coreProperties>
</file>