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FC6" w:rsidRPr="00EC19FD" w:rsidRDefault="00A51FC6" w:rsidP="002C3512">
      <w:pPr>
        <w:jc w:val="both"/>
        <w:rPr>
          <w:rFonts w:ascii="Century Schoolbook" w:hAnsi="Century Schoolbook"/>
          <w:sz w:val="24"/>
          <w:szCs w:val="24"/>
        </w:rPr>
      </w:pPr>
      <w:bookmarkStart w:id="0" w:name="_GoBack"/>
      <w:bookmarkEnd w:id="0"/>
      <w:r w:rsidRPr="00EC19FD">
        <w:rPr>
          <w:rFonts w:ascii="Century Schoolbook" w:hAnsi="Century Schoolbook"/>
          <w:sz w:val="24"/>
          <w:szCs w:val="24"/>
        </w:rPr>
        <w:t>Related Employer Coverage and Nondiscrimination Testing</w:t>
      </w:r>
    </w:p>
    <w:p w:rsidR="00A51FC6" w:rsidRPr="00EC19FD" w:rsidRDefault="00A51FC6" w:rsidP="002C3512">
      <w:pPr>
        <w:jc w:val="both"/>
        <w:rPr>
          <w:rFonts w:ascii="Century Schoolbook" w:hAnsi="Century Schoolbook"/>
          <w:sz w:val="24"/>
          <w:szCs w:val="24"/>
        </w:rPr>
      </w:pPr>
      <w:r w:rsidRPr="00EC19FD">
        <w:rPr>
          <w:rFonts w:ascii="Century Schoolbook" w:hAnsi="Century Schoolbook"/>
          <w:sz w:val="24"/>
          <w:szCs w:val="24"/>
        </w:rPr>
        <w:t>Webcast Questions and Answers – S. Derrin Watson</w:t>
      </w:r>
    </w:p>
    <w:p w:rsidR="00A51FC6" w:rsidRPr="00EC19FD" w:rsidRDefault="00A51FC6" w:rsidP="002C3512">
      <w:pPr>
        <w:jc w:val="both"/>
        <w:rPr>
          <w:rFonts w:ascii="Century Schoolbook" w:hAnsi="Century Schoolbook"/>
          <w:sz w:val="24"/>
          <w:szCs w:val="24"/>
        </w:rPr>
      </w:pPr>
    </w:p>
    <w:p w:rsidR="00A51FC6" w:rsidRPr="00EC19FD" w:rsidRDefault="00A51FC6" w:rsidP="002C3512">
      <w:pPr>
        <w:jc w:val="both"/>
        <w:rPr>
          <w:rFonts w:ascii="Century Schoolbook" w:hAnsi="Century Schoolbook"/>
          <w:sz w:val="24"/>
          <w:szCs w:val="24"/>
        </w:rPr>
      </w:pPr>
      <w:r w:rsidRPr="00EC19FD">
        <w:rPr>
          <w:rFonts w:ascii="Century Schoolbook" w:hAnsi="Century Schoolbook"/>
          <w:sz w:val="24"/>
          <w:szCs w:val="24"/>
        </w:rPr>
        <w:t>In this document, I answer all the questions that came during the recent seminar</w:t>
      </w:r>
      <w:r w:rsidR="008303D4">
        <w:rPr>
          <w:rFonts w:ascii="Century Schoolbook" w:hAnsi="Century Schoolbook"/>
          <w:sz w:val="24"/>
          <w:szCs w:val="24"/>
        </w:rPr>
        <w:t xml:space="preserve"> on November 16, 2017</w:t>
      </w:r>
      <w:r w:rsidRPr="00EC19FD">
        <w:rPr>
          <w:rFonts w:ascii="Century Schoolbook" w:hAnsi="Century Schoolbook"/>
          <w:sz w:val="24"/>
          <w:szCs w:val="24"/>
        </w:rPr>
        <w:t>.  Most of these questions address topics that I discuss more fully in Who’s the Employer (</w:t>
      </w:r>
      <w:r w:rsidR="00EC19FD" w:rsidRPr="00EC19FD">
        <w:rPr>
          <w:rFonts w:ascii="Century Schoolbook" w:hAnsi="Century Schoolbook"/>
          <w:sz w:val="24"/>
          <w:szCs w:val="24"/>
        </w:rPr>
        <w:t>WTE</w:t>
      </w:r>
      <w:r w:rsidRPr="00EC19FD">
        <w:rPr>
          <w:rFonts w:ascii="Century Schoolbook" w:hAnsi="Century Schoolbook"/>
          <w:sz w:val="24"/>
          <w:szCs w:val="24"/>
        </w:rPr>
        <w:t>)</w:t>
      </w:r>
      <w:r w:rsidR="00EC19FD" w:rsidRPr="00EC19FD">
        <w:rPr>
          <w:rFonts w:ascii="Century Schoolbook" w:hAnsi="Century Schoolbook"/>
          <w:sz w:val="24"/>
          <w:szCs w:val="24"/>
        </w:rPr>
        <w:t>.</w:t>
      </w:r>
      <w:r w:rsidRPr="00EC19FD">
        <w:rPr>
          <w:rFonts w:ascii="Century Schoolbook" w:hAnsi="Century Schoolbook"/>
          <w:sz w:val="24"/>
          <w:szCs w:val="24"/>
        </w:rPr>
        <w:t xml:space="preserve">  If you see a refer such as Q 23:1, that means you can find more information at the first qu</w:t>
      </w:r>
      <w:r w:rsidR="00EC19FD" w:rsidRPr="00EC19FD">
        <w:rPr>
          <w:rFonts w:ascii="Century Schoolbook" w:hAnsi="Century Schoolbook"/>
          <w:sz w:val="24"/>
          <w:szCs w:val="24"/>
        </w:rPr>
        <w:t>estion in chapter 23 of WTE</w:t>
      </w:r>
      <w:r w:rsidRPr="00EC19FD">
        <w:rPr>
          <w:rFonts w:ascii="Century Schoolbook" w:hAnsi="Century Schoolbook"/>
          <w:sz w:val="24"/>
          <w:szCs w:val="24"/>
        </w:rPr>
        <w:t>.</w:t>
      </w:r>
      <w:r w:rsidR="00B63397">
        <w:rPr>
          <w:rFonts w:ascii="Century Schoolbook" w:hAnsi="Century Schoolbook"/>
          <w:sz w:val="24"/>
          <w:szCs w:val="24"/>
        </w:rPr>
        <w:t xml:space="preserve"> Hyperlinks are available for those who subscribe to WTE.</w:t>
      </w:r>
    </w:p>
    <w:p w:rsidR="00A51FC6" w:rsidRPr="00EC19FD" w:rsidRDefault="00A51FC6" w:rsidP="002C3512">
      <w:pPr>
        <w:pStyle w:val="ListParagraph"/>
        <w:jc w:val="both"/>
        <w:rPr>
          <w:rFonts w:ascii="Century Schoolbook" w:hAnsi="Century Schoolbook"/>
          <w:sz w:val="24"/>
          <w:szCs w:val="24"/>
        </w:rPr>
      </w:pPr>
    </w:p>
    <w:p w:rsidR="00C005B6" w:rsidRPr="00A24ED0" w:rsidRDefault="00473EEB"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What is the rule for counting service prior to becoming a member of related group?</w:t>
      </w:r>
    </w:p>
    <w:p w:rsidR="00A51FC6" w:rsidRPr="00EC19FD" w:rsidRDefault="00A51FC6" w:rsidP="002C3512">
      <w:pPr>
        <w:jc w:val="both"/>
        <w:rPr>
          <w:rFonts w:ascii="Century Schoolbook" w:hAnsi="Century Schoolbook"/>
          <w:sz w:val="24"/>
          <w:szCs w:val="24"/>
        </w:rPr>
      </w:pPr>
      <w:r w:rsidRPr="00EC19FD">
        <w:rPr>
          <w:rFonts w:ascii="Century Schoolbook" w:hAnsi="Century Schoolbook"/>
          <w:sz w:val="24"/>
          <w:szCs w:val="24"/>
        </w:rPr>
        <w:t xml:space="preserve">Count it.  How’s that for simplicity?  </w:t>
      </w:r>
    </w:p>
    <w:bookmarkStart w:id="1" w:name="_Hlk498957830"/>
    <w:p w:rsidR="00A51FC6" w:rsidRPr="00EC19FD" w:rsidRDefault="009C51D3" w:rsidP="002C3512">
      <w:pPr>
        <w:jc w:val="both"/>
        <w:rPr>
          <w:rFonts w:ascii="Century Schoolbook" w:hAnsi="Century Schoolbook"/>
          <w:sz w:val="24"/>
          <w:szCs w:val="24"/>
        </w:rPr>
      </w:pPr>
      <w:r w:rsidRPr="009C51D3">
        <w:fldChar w:fldCharType="begin"/>
      </w:r>
      <w:r>
        <w:rPr>
          <w:color w:val="000000" w:themeColor="text1"/>
          <w:u w:val="single"/>
        </w:rPr>
        <w:instrText>HYPERLINK "https://www.ERISApedia.com/search?e82a984fa00eba24c=Y&amp;Source=BOOKWHOER&amp;ID=CHAPTER19"</w:instrText>
      </w:r>
      <w:r w:rsidRPr="009C51D3">
        <w:fldChar w:fldCharType="separate"/>
      </w:r>
      <w:r w:rsidRPr="009C51D3">
        <w:rPr>
          <w:rStyle w:val="Hyperlink"/>
          <w:rFonts w:ascii="Century Schoolbook" w:hAnsi="Century Schoolbook"/>
          <w:color w:val="000000" w:themeColor="text1"/>
          <w:sz w:val="24"/>
          <w:szCs w:val="24"/>
        </w:rPr>
        <w:t>Chapter 19</w:t>
      </w:r>
      <w:r w:rsidRPr="009C51D3">
        <w:rPr>
          <w:rStyle w:val="Hyperlink"/>
          <w:rFonts w:ascii="Century Schoolbook" w:hAnsi="Century Schoolbook"/>
          <w:color w:val="000000" w:themeColor="text1"/>
          <w:sz w:val="24"/>
          <w:szCs w:val="24"/>
        </w:rPr>
        <w:fldChar w:fldCharType="end"/>
      </w:r>
      <w:bookmarkEnd w:id="1"/>
      <w:r w:rsidR="00A51FC6" w:rsidRPr="00EC19FD">
        <w:rPr>
          <w:rFonts w:ascii="Century Schoolbook" w:hAnsi="Century Schoolbook"/>
          <w:sz w:val="24"/>
          <w:szCs w:val="24"/>
        </w:rPr>
        <w:t xml:space="preserve"> of WTE addresses service an</w:t>
      </w:r>
      <w:r w:rsidR="00A51FC6" w:rsidRPr="009C51D3">
        <w:rPr>
          <w:rFonts w:ascii="Century Schoolbook" w:hAnsi="Century Schoolbook"/>
          <w:sz w:val="24"/>
          <w:szCs w:val="24"/>
        </w:rPr>
        <w:t>d</w:t>
      </w:r>
      <w:r w:rsidR="00A51FC6" w:rsidRPr="009C51D3">
        <w:rPr>
          <w:rFonts w:ascii="Century Schoolbook" w:hAnsi="Century Schoolbook"/>
          <w:color w:val="000000" w:themeColor="text1"/>
          <w:sz w:val="24"/>
          <w:szCs w:val="24"/>
        </w:rPr>
        <w:t xml:space="preserve"> </w:t>
      </w:r>
      <w:hyperlink r:id="rId8" w:history="1">
        <w:r w:rsidRPr="009C51D3">
          <w:rPr>
            <w:rStyle w:val="Hyperlink"/>
            <w:rFonts w:ascii="Century Schoolbook" w:hAnsi="Century Schoolbook"/>
            <w:color w:val="000000" w:themeColor="text1"/>
            <w:sz w:val="24"/>
            <w:szCs w:val="24"/>
          </w:rPr>
          <w:t>Q 19:27</w:t>
        </w:r>
      </w:hyperlink>
      <w:r w:rsidRPr="009C51D3">
        <w:rPr>
          <w:rStyle w:val="Hyperlink"/>
          <w:rFonts w:ascii="Century Schoolbook" w:hAnsi="Century Schoolbook"/>
          <w:color w:val="000000" w:themeColor="text1"/>
          <w:sz w:val="24"/>
          <w:szCs w:val="24"/>
          <w:u w:val="none"/>
        </w:rPr>
        <w:t xml:space="preserve"> </w:t>
      </w:r>
      <w:r w:rsidR="00EC19FD" w:rsidRPr="00EC19FD">
        <w:rPr>
          <w:rFonts w:ascii="Century Schoolbook" w:hAnsi="Century Schoolbook"/>
          <w:sz w:val="24"/>
          <w:szCs w:val="24"/>
        </w:rPr>
        <w:t>focuses on this question. It notes:</w:t>
      </w:r>
    </w:p>
    <w:p w:rsidR="00EC19FD" w:rsidRPr="00EC19FD" w:rsidRDefault="00EC19FD" w:rsidP="002C3512">
      <w:pPr>
        <w:pStyle w:val="parareg"/>
        <w:shd w:val="clear" w:color="auto" w:fill="FFFFFF"/>
        <w:jc w:val="both"/>
        <w:rPr>
          <w:rFonts w:ascii="Century Schoolbook" w:hAnsi="Century Schoolbook"/>
          <w:color w:val="FF0000"/>
        </w:rPr>
      </w:pPr>
      <w:r w:rsidRPr="00EC19FD">
        <w:rPr>
          <w:rFonts w:ascii="Century Schoolbook" w:hAnsi="Century Schoolbook"/>
          <w:color w:val="FF0000"/>
        </w:rPr>
        <w:t>The Department of Labor regulations put the matter plainly:</w:t>
      </w:r>
    </w:p>
    <w:p w:rsidR="00EC19FD" w:rsidRPr="00EC19FD" w:rsidRDefault="00EC19FD" w:rsidP="002C3512">
      <w:pPr>
        <w:pStyle w:val="quoteind"/>
        <w:shd w:val="clear" w:color="auto" w:fill="FFFFFF"/>
        <w:jc w:val="both"/>
        <w:rPr>
          <w:rFonts w:ascii="Century Schoolbook" w:hAnsi="Century Schoolbook"/>
          <w:color w:val="FF0000"/>
          <w:sz w:val="24"/>
          <w:szCs w:val="24"/>
        </w:rPr>
      </w:pPr>
      <w:r w:rsidRPr="00EC19FD">
        <w:rPr>
          <w:rFonts w:ascii="Century Schoolbook" w:hAnsi="Century Schoolbook"/>
          <w:color w:val="FF0000"/>
          <w:sz w:val="24"/>
          <w:szCs w:val="24"/>
        </w:rPr>
        <w:t>[I]n determining an employee’s service for eligibility to participate and vesting purposes, all service with any employer which is a member of the controlled group of corporations shall be taken into account. . . . [I]n determining a participant’s service for benefit accrual purposes, all service during periods of participation covered under the plan with any employer which is a member of the controlled group of corporations shall be taken into account. [</w:t>
      </w:r>
      <w:hyperlink r:id="rId9" w:history="1">
        <w:r w:rsidRPr="00EC19FD">
          <w:rPr>
            <w:rStyle w:val="Hyperlink"/>
            <w:rFonts w:ascii="Century Schoolbook" w:hAnsi="Century Schoolbook"/>
            <w:color w:val="FF0000"/>
            <w:sz w:val="24"/>
            <w:szCs w:val="24"/>
          </w:rPr>
          <w:t>DOL Reg. 2530.210(d)</w:t>
        </w:r>
      </w:hyperlink>
      <w:r w:rsidRPr="00EC19FD">
        <w:rPr>
          <w:rFonts w:ascii="Century Schoolbook" w:hAnsi="Century Schoolbook"/>
          <w:color w:val="FF0000"/>
          <w:sz w:val="24"/>
          <w:szCs w:val="24"/>
        </w:rPr>
        <w:t>]</w:t>
      </w:r>
    </w:p>
    <w:p w:rsidR="00EC19FD" w:rsidRPr="00EC19FD" w:rsidRDefault="00EC19FD" w:rsidP="002C3512">
      <w:pPr>
        <w:pStyle w:val="parareg"/>
        <w:shd w:val="clear" w:color="auto" w:fill="FFFFFF"/>
        <w:jc w:val="both"/>
        <w:rPr>
          <w:rFonts w:ascii="Century Schoolbook" w:hAnsi="Century Schoolbook"/>
        </w:rPr>
      </w:pPr>
      <w:r w:rsidRPr="00EC19FD">
        <w:rPr>
          <w:rFonts w:ascii="Century Schoolbook" w:hAnsi="Century Schoolbook"/>
          <w:color w:val="FF0000"/>
        </w:rPr>
        <w:t xml:space="preserve">The DOL regulations contain an identical provision for groups of trades or businesses under common control. The regulations predate the adoption of the affiliated service group rules of </w:t>
      </w:r>
      <w:hyperlink r:id="rId10" w:history="1">
        <w:r w:rsidRPr="00EC19FD">
          <w:rPr>
            <w:rStyle w:val="Hyperlink"/>
            <w:rFonts w:ascii="Century Schoolbook" w:hAnsi="Century Schoolbook"/>
            <w:color w:val="FF0000"/>
          </w:rPr>
          <w:t>Code §414(m)</w:t>
        </w:r>
      </w:hyperlink>
      <w:r w:rsidRPr="00EC19FD">
        <w:rPr>
          <w:rFonts w:ascii="Century Schoolbook" w:hAnsi="Century Schoolbook"/>
          <w:color w:val="FF0000"/>
        </w:rPr>
        <w:t>, but there is no reason to suppose ASGs would be treated differently. Note that the regulations do not exclude service credited before a company was a member of a controlled group</w:t>
      </w:r>
    </w:p>
    <w:p w:rsidR="00EC19FD" w:rsidRDefault="00EC19FD" w:rsidP="002C3512">
      <w:pPr>
        <w:pStyle w:val="ListParagraph"/>
        <w:jc w:val="both"/>
        <w:rPr>
          <w:rFonts w:ascii="Century Schoolbook" w:hAnsi="Century Schoolbook"/>
          <w:sz w:val="24"/>
          <w:szCs w:val="24"/>
        </w:rPr>
      </w:pPr>
    </w:p>
    <w:p w:rsidR="00473EEB" w:rsidRPr="00A24ED0" w:rsidRDefault="00473EEB"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Sole proprietor has a "solo 401K"; owns 80% of a c-corp which has a Safe Harbor 401k, but he is not an employee or does not receive any form of comp from the c-corp.  Must the plans be identical as to provisions &amp; contributions, etc.?</w:t>
      </w:r>
    </w:p>
    <w:p w:rsidR="00473EEB" w:rsidRPr="00EC19FD" w:rsidRDefault="00EC19FD" w:rsidP="002C3512">
      <w:pPr>
        <w:jc w:val="both"/>
        <w:rPr>
          <w:rFonts w:ascii="Century Schoolbook" w:hAnsi="Century Schoolbook"/>
          <w:sz w:val="24"/>
          <w:szCs w:val="24"/>
        </w:rPr>
      </w:pPr>
      <w:r>
        <w:rPr>
          <w:rFonts w:ascii="Century Schoolbook" w:hAnsi="Century Schoolbook"/>
          <w:sz w:val="24"/>
          <w:szCs w:val="24"/>
        </w:rPr>
        <w:t>Legally, no.  But since the two businesses are under common control, he will need to permissively aggregate the plans to pass coverage.  Having aggregated them for coverage,</w:t>
      </w:r>
      <w:r w:rsidR="003B1B07">
        <w:rPr>
          <w:rFonts w:ascii="Century Schoolbook" w:hAnsi="Century Schoolbook"/>
          <w:sz w:val="24"/>
          <w:szCs w:val="24"/>
        </w:rPr>
        <w:t xml:space="preserve"> </w:t>
      </w:r>
      <w:r>
        <w:rPr>
          <w:rFonts w:ascii="Century Schoolbook" w:hAnsi="Century Schoolbook"/>
          <w:sz w:val="24"/>
          <w:szCs w:val="24"/>
        </w:rPr>
        <w:t>he</w:t>
      </w:r>
      <w:r w:rsidR="003B1B07">
        <w:rPr>
          <w:rFonts w:ascii="Century Schoolbook" w:hAnsi="Century Schoolbook"/>
          <w:sz w:val="24"/>
          <w:szCs w:val="24"/>
        </w:rPr>
        <w:t xml:space="preserve"> </w:t>
      </w:r>
      <w:r>
        <w:rPr>
          <w:rFonts w:ascii="Century Schoolbook" w:hAnsi="Century Schoolbook"/>
          <w:sz w:val="24"/>
          <w:szCs w:val="24"/>
        </w:rPr>
        <w:t xml:space="preserve">must aggregate them for nondiscrimination, including nondiscrimination of benefits, rights, and features.  For more about benefits, rights, and features testing, see </w:t>
      </w:r>
      <w:hyperlink r:id="rId11" w:history="1">
        <w:r w:rsidR="000E69B5">
          <w:rPr>
            <w:rStyle w:val="Hyperlink"/>
            <w:rFonts w:ascii="Century Schoolbook" w:hAnsi="Century Schoolbook"/>
            <w:color w:val="000000" w:themeColor="text1"/>
            <w:sz w:val="24"/>
            <w:szCs w:val="24"/>
          </w:rPr>
          <w:t>Q 10:19</w:t>
        </w:r>
      </w:hyperlink>
      <w:r>
        <w:rPr>
          <w:rFonts w:ascii="Century Schoolbook" w:hAnsi="Century Schoolbook"/>
          <w:sz w:val="24"/>
          <w:szCs w:val="24"/>
        </w:rPr>
        <w:t xml:space="preserve">, </w:t>
      </w:r>
      <w:hyperlink r:id="rId12" w:history="1">
        <w:r w:rsidR="000E69B5">
          <w:rPr>
            <w:rStyle w:val="Hyperlink"/>
            <w:rFonts w:ascii="Century Schoolbook" w:hAnsi="Century Schoolbook"/>
            <w:color w:val="000000" w:themeColor="text1"/>
            <w:sz w:val="24"/>
            <w:szCs w:val="24"/>
          </w:rPr>
          <w:t>Q 11:7</w:t>
        </w:r>
      </w:hyperlink>
      <w:r>
        <w:rPr>
          <w:rFonts w:ascii="Century Schoolbook" w:hAnsi="Century Schoolbook"/>
          <w:sz w:val="24"/>
          <w:szCs w:val="24"/>
        </w:rPr>
        <w:t xml:space="preserve">, and </w:t>
      </w:r>
      <w:hyperlink r:id="rId13" w:history="1">
        <w:r w:rsidR="000E69B5">
          <w:rPr>
            <w:rStyle w:val="Hyperlink"/>
            <w:rFonts w:ascii="Century Schoolbook" w:hAnsi="Century Schoolbook"/>
            <w:color w:val="000000" w:themeColor="text1"/>
            <w:sz w:val="24"/>
            <w:szCs w:val="24"/>
          </w:rPr>
          <w:t>Q 19:23</w:t>
        </w:r>
      </w:hyperlink>
      <w:r>
        <w:rPr>
          <w:rFonts w:ascii="Century Schoolbook" w:hAnsi="Century Schoolbook"/>
          <w:sz w:val="24"/>
          <w:szCs w:val="24"/>
        </w:rPr>
        <w:t>.</w:t>
      </w:r>
    </w:p>
    <w:p w:rsidR="00473EEB" w:rsidRPr="00A24ED0" w:rsidRDefault="00473EEB"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lastRenderedPageBreak/>
        <w:t>If company A and company B were related employers, company A is in the plan but B is not.  An employee is participating in A's plan and moves to company B.  Should the employee be allowed to continue to participate in the plan?</w:t>
      </w:r>
    </w:p>
    <w:p w:rsidR="00473EEB" w:rsidRDefault="00EC19FD" w:rsidP="002C3512">
      <w:pPr>
        <w:jc w:val="both"/>
        <w:rPr>
          <w:rFonts w:ascii="Century Schoolbook" w:hAnsi="Century Schoolbook"/>
          <w:sz w:val="24"/>
          <w:szCs w:val="24"/>
        </w:rPr>
      </w:pPr>
      <w:r>
        <w:rPr>
          <w:rFonts w:ascii="Century Schoolbook" w:hAnsi="Century Schoolbook"/>
          <w:sz w:val="24"/>
          <w:szCs w:val="24"/>
        </w:rPr>
        <w:t>Check the plan document.  I mentioned the analogy of a company with employees in Los Angeles and San Francisco.  For this, it is helpful to use a different analogy.  Suppose a company has both union and non-union employees but the plan covers only the nonunion employees.  Mary has 5 YOS as a nonunion employee a</w:t>
      </w:r>
      <w:r w:rsidR="003B1B07">
        <w:rPr>
          <w:rFonts w:ascii="Century Schoolbook" w:hAnsi="Century Schoolbook"/>
          <w:sz w:val="24"/>
          <w:szCs w:val="24"/>
        </w:rPr>
        <w:t>nd</w:t>
      </w:r>
      <w:r>
        <w:rPr>
          <w:rFonts w:ascii="Century Schoolbook" w:hAnsi="Century Schoolbook"/>
          <w:sz w:val="24"/>
          <w:szCs w:val="24"/>
        </w:rPr>
        <w:t xml:space="preserve"> is 80% vested.  She switches positions and becomes a union employee.  </w:t>
      </w:r>
      <w:r w:rsidR="000252C0">
        <w:rPr>
          <w:rFonts w:ascii="Century Schoolbook" w:hAnsi="Century Schoolbook"/>
          <w:sz w:val="24"/>
          <w:szCs w:val="24"/>
        </w:rPr>
        <w:t>In the documents with which I am most familiar, she would cease to be an active participant.  However, she would still be acc</w:t>
      </w:r>
      <w:r w:rsidR="00351918">
        <w:rPr>
          <w:rFonts w:ascii="Century Schoolbook" w:hAnsi="Century Schoolbook"/>
          <w:sz w:val="24"/>
          <w:szCs w:val="24"/>
        </w:rPr>
        <w:t>ruing vesting credits. However, if the plan is top-heavy she should receive her top-heavy minimum for the year.</w:t>
      </w:r>
    </w:p>
    <w:p w:rsidR="000252C0" w:rsidRPr="00EC19FD" w:rsidRDefault="000252C0" w:rsidP="002C3512">
      <w:pPr>
        <w:jc w:val="both"/>
        <w:rPr>
          <w:rFonts w:ascii="Century Schoolbook" w:hAnsi="Century Schoolbook"/>
          <w:sz w:val="24"/>
          <w:szCs w:val="24"/>
        </w:rPr>
      </w:pPr>
    </w:p>
    <w:p w:rsidR="00473EEB" w:rsidRPr="00A24ED0" w:rsidRDefault="00473EEB"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In the standardized Plan example, if the B employees were covered without B adopting the plan, what are the consequences?</w:t>
      </w:r>
    </w:p>
    <w:p w:rsidR="0079421C" w:rsidRDefault="0079421C" w:rsidP="002C3512">
      <w:pPr>
        <w:jc w:val="both"/>
        <w:rPr>
          <w:rFonts w:ascii="Century Schoolbook" w:hAnsi="Century Schoolbook"/>
          <w:sz w:val="24"/>
          <w:szCs w:val="24"/>
        </w:rPr>
      </w:pPr>
      <w:r>
        <w:rPr>
          <w:rFonts w:ascii="Century Schoolbook" w:hAnsi="Century Schoolbook"/>
          <w:sz w:val="24"/>
          <w:szCs w:val="24"/>
        </w:rPr>
        <w:t xml:space="preserve">There are three major issues: </w:t>
      </w:r>
    </w:p>
    <w:p w:rsidR="0079421C" w:rsidRPr="0079421C" w:rsidRDefault="000252C0" w:rsidP="002C3512">
      <w:pPr>
        <w:pStyle w:val="ListParagraph"/>
        <w:numPr>
          <w:ilvl w:val="0"/>
          <w:numId w:val="2"/>
        </w:numPr>
        <w:jc w:val="both"/>
        <w:rPr>
          <w:rFonts w:ascii="Century Schoolbook" w:hAnsi="Century Schoolbook"/>
          <w:sz w:val="24"/>
          <w:szCs w:val="24"/>
        </w:rPr>
      </w:pPr>
      <w:r w:rsidRPr="0079421C">
        <w:rPr>
          <w:rFonts w:ascii="Century Schoolbook" w:hAnsi="Century Schoolbook"/>
          <w:sz w:val="24"/>
          <w:szCs w:val="24"/>
        </w:rPr>
        <w:t xml:space="preserve">The plan has an operational failure for not following its terms (which require coverage of those employees).  Correct by making a QNEC for the missed deferrals and the missed SIMPLE contribution, for each year, plus earnings.  Alternatively, Accept the consequences of disqualification.  </w:t>
      </w:r>
    </w:p>
    <w:p w:rsidR="0036466B" w:rsidRDefault="000252C0" w:rsidP="002C3512">
      <w:pPr>
        <w:pStyle w:val="ListParagraph"/>
        <w:numPr>
          <w:ilvl w:val="0"/>
          <w:numId w:val="2"/>
        </w:numPr>
        <w:jc w:val="both"/>
        <w:rPr>
          <w:rFonts w:ascii="Century Schoolbook" w:hAnsi="Century Schoolbook"/>
          <w:sz w:val="24"/>
          <w:szCs w:val="24"/>
        </w:rPr>
      </w:pPr>
      <w:r w:rsidRPr="0079421C">
        <w:rPr>
          <w:rFonts w:ascii="Century Schoolbook" w:hAnsi="Century Schoolbook"/>
          <w:sz w:val="24"/>
          <w:szCs w:val="24"/>
        </w:rPr>
        <w:t>Contributions are deducible only to the extent they don’t exceed 25% of the compensation of the A participant.  Because B do</w:t>
      </w:r>
      <w:r w:rsidR="00075114" w:rsidRPr="0079421C">
        <w:rPr>
          <w:rFonts w:ascii="Century Schoolbook" w:hAnsi="Century Schoolbook"/>
          <w:sz w:val="24"/>
          <w:szCs w:val="24"/>
        </w:rPr>
        <w:t>es not cosponsor the plan, the</w:t>
      </w:r>
      <w:r w:rsidRPr="0079421C">
        <w:rPr>
          <w:rFonts w:ascii="Century Schoolbook" w:hAnsi="Century Schoolbook"/>
          <w:sz w:val="24"/>
          <w:szCs w:val="24"/>
        </w:rPr>
        <w:t xml:space="preserve"> compensation </w:t>
      </w:r>
      <w:r w:rsidR="00075114" w:rsidRPr="0079421C">
        <w:rPr>
          <w:rFonts w:ascii="Century Schoolbook" w:hAnsi="Century Schoolbook"/>
          <w:sz w:val="24"/>
          <w:szCs w:val="24"/>
        </w:rPr>
        <w:t xml:space="preserve">of the B employees </w:t>
      </w:r>
      <w:r w:rsidRPr="0079421C">
        <w:rPr>
          <w:rFonts w:ascii="Century Schoolbook" w:hAnsi="Century Schoolbook"/>
          <w:sz w:val="24"/>
          <w:szCs w:val="24"/>
        </w:rPr>
        <w:t>does not count</w:t>
      </w:r>
      <w:r w:rsidR="00075114" w:rsidRPr="0079421C">
        <w:rPr>
          <w:rFonts w:ascii="Century Schoolbook" w:hAnsi="Century Schoolbook"/>
          <w:sz w:val="24"/>
          <w:szCs w:val="24"/>
        </w:rPr>
        <w:t xml:space="preserve"> in computing the limit. </w:t>
      </w:r>
      <w:r w:rsidR="0079421C">
        <w:rPr>
          <w:rFonts w:ascii="Century Schoolbook" w:hAnsi="Century Schoolbook"/>
          <w:sz w:val="24"/>
          <w:szCs w:val="24"/>
        </w:rPr>
        <w:t xml:space="preserve">See </w:t>
      </w:r>
      <w:hyperlink r:id="rId14" w:history="1">
        <w:r w:rsidR="008E2A68">
          <w:rPr>
            <w:rStyle w:val="Hyperlink"/>
            <w:rFonts w:ascii="Century Schoolbook" w:hAnsi="Century Schoolbook"/>
            <w:color w:val="000000" w:themeColor="text1"/>
            <w:sz w:val="24"/>
            <w:szCs w:val="24"/>
          </w:rPr>
          <w:t>Q 10:21</w:t>
        </w:r>
      </w:hyperlink>
    </w:p>
    <w:p w:rsidR="0079421C" w:rsidRDefault="0079421C" w:rsidP="002C3512">
      <w:pPr>
        <w:pStyle w:val="ListParagraph"/>
        <w:numPr>
          <w:ilvl w:val="0"/>
          <w:numId w:val="2"/>
        </w:numPr>
        <w:jc w:val="both"/>
        <w:rPr>
          <w:rFonts w:ascii="Century Schoolbook" w:hAnsi="Century Schoolbook"/>
          <w:sz w:val="24"/>
          <w:szCs w:val="24"/>
        </w:rPr>
      </w:pPr>
      <w:r>
        <w:rPr>
          <w:rFonts w:ascii="Century Schoolbook" w:hAnsi="Century Schoolbook"/>
          <w:sz w:val="24"/>
          <w:szCs w:val="24"/>
        </w:rPr>
        <w:t xml:space="preserve">The extent to which A can deduct the contributions it makes for B employees is questionable under the “ordinary and necessary” standard of </w:t>
      </w:r>
      <w:hyperlink r:id="rId15" w:history="1">
        <w:r w:rsidR="00E25BD9">
          <w:rPr>
            <w:rStyle w:val="Hyperlink"/>
            <w:rFonts w:ascii="Century Schoolbook" w:hAnsi="Century Schoolbook"/>
            <w:color w:val="000000" w:themeColor="text1"/>
            <w:sz w:val="24"/>
            <w:szCs w:val="24"/>
          </w:rPr>
          <w:t>Code §162</w:t>
        </w:r>
      </w:hyperlink>
      <w:r>
        <w:rPr>
          <w:rFonts w:ascii="Century Schoolbook" w:hAnsi="Century Schoolbook"/>
          <w:sz w:val="24"/>
          <w:szCs w:val="24"/>
        </w:rPr>
        <w:t xml:space="preserve">.  See </w:t>
      </w:r>
      <w:hyperlink r:id="rId16" w:history="1">
        <w:r w:rsidR="008E2A68">
          <w:rPr>
            <w:rStyle w:val="Hyperlink"/>
            <w:rFonts w:ascii="Century Schoolbook" w:hAnsi="Century Schoolbook"/>
            <w:color w:val="000000" w:themeColor="text1"/>
            <w:sz w:val="24"/>
            <w:szCs w:val="24"/>
          </w:rPr>
          <w:t>Q 10:22</w:t>
        </w:r>
      </w:hyperlink>
      <w:r>
        <w:rPr>
          <w:rFonts w:ascii="Century Schoolbook" w:hAnsi="Century Schoolbook"/>
          <w:sz w:val="24"/>
          <w:szCs w:val="24"/>
        </w:rPr>
        <w:t>.</w:t>
      </w:r>
    </w:p>
    <w:p w:rsidR="0079421C" w:rsidRDefault="0079421C" w:rsidP="002C3512">
      <w:pPr>
        <w:pStyle w:val="ListParagraph"/>
        <w:jc w:val="both"/>
        <w:rPr>
          <w:rFonts w:ascii="Century Schoolbook" w:hAnsi="Century Schoolbook"/>
          <w:sz w:val="24"/>
          <w:szCs w:val="24"/>
        </w:rPr>
      </w:pPr>
    </w:p>
    <w:p w:rsidR="00D43C8A" w:rsidRPr="0079421C" w:rsidRDefault="00D43C8A" w:rsidP="002C3512">
      <w:pPr>
        <w:pStyle w:val="ListParagraph"/>
        <w:jc w:val="both"/>
        <w:rPr>
          <w:rFonts w:ascii="Century Schoolbook" w:hAnsi="Century Schoolbook"/>
          <w:sz w:val="24"/>
          <w:szCs w:val="24"/>
        </w:rPr>
      </w:pPr>
    </w:p>
    <w:p w:rsidR="00473EEB" w:rsidRPr="00A24ED0" w:rsidRDefault="00473EEB"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Are there any types of SEP documents that do not mandate covering all related employers?</w:t>
      </w:r>
    </w:p>
    <w:p w:rsidR="0079421C" w:rsidRDefault="00D20F64" w:rsidP="002C3512">
      <w:pPr>
        <w:jc w:val="both"/>
        <w:rPr>
          <w:rFonts w:ascii="Century Schoolbook" w:hAnsi="Century Schoolbook"/>
          <w:sz w:val="24"/>
          <w:szCs w:val="24"/>
        </w:rPr>
      </w:pPr>
      <w:r>
        <w:rPr>
          <w:rFonts w:ascii="Century Schoolbook" w:hAnsi="Century Schoolbook"/>
          <w:sz w:val="24"/>
          <w:szCs w:val="24"/>
        </w:rPr>
        <w:t xml:space="preserve">No. </w:t>
      </w:r>
      <w:r w:rsidR="00351918">
        <w:rPr>
          <w:rFonts w:ascii="Century Schoolbook" w:hAnsi="Century Schoolbook"/>
          <w:sz w:val="24"/>
          <w:szCs w:val="24"/>
        </w:rPr>
        <w:t>I quote</w:t>
      </w:r>
      <w:r w:rsidR="009F4245">
        <w:rPr>
          <w:rFonts w:ascii="Century Schoolbook" w:hAnsi="Century Schoolbook"/>
          <w:sz w:val="24"/>
          <w:szCs w:val="24"/>
        </w:rPr>
        <w:t xml:space="preserve"> from</w:t>
      </w:r>
      <w:r w:rsidR="008E2A68" w:rsidRPr="008E2A68">
        <w:rPr>
          <w:rFonts w:ascii="Century Schoolbook" w:hAnsi="Century Schoolbook"/>
          <w:sz w:val="24"/>
          <w:szCs w:val="24"/>
        </w:rPr>
        <w:t xml:space="preserve"> </w:t>
      </w:r>
      <w:r w:rsidR="008E2A68">
        <w:rPr>
          <w:rFonts w:ascii="Century Schoolbook" w:hAnsi="Century Schoolbook"/>
          <w:sz w:val="24"/>
          <w:szCs w:val="24"/>
        </w:rPr>
        <w:t>WTE</w:t>
      </w:r>
      <w:r w:rsidR="009F4245">
        <w:rPr>
          <w:rFonts w:ascii="Century Schoolbook" w:hAnsi="Century Schoolbook"/>
          <w:sz w:val="24"/>
          <w:szCs w:val="24"/>
        </w:rPr>
        <w:t xml:space="preserve"> </w:t>
      </w:r>
      <w:hyperlink r:id="rId17" w:history="1">
        <w:r w:rsidR="008E2A68">
          <w:rPr>
            <w:rStyle w:val="Hyperlink"/>
            <w:rFonts w:ascii="Century Schoolbook" w:hAnsi="Century Schoolbook"/>
            <w:color w:val="000000" w:themeColor="text1"/>
            <w:sz w:val="24"/>
            <w:szCs w:val="24"/>
          </w:rPr>
          <w:t>Q 25:1</w:t>
        </w:r>
      </w:hyperlink>
      <w:r w:rsidR="00351918">
        <w:rPr>
          <w:rFonts w:ascii="Century Schoolbook" w:hAnsi="Century Schoolbook"/>
          <w:sz w:val="24"/>
          <w:szCs w:val="24"/>
        </w:rPr>
        <w:t>:</w:t>
      </w:r>
    </w:p>
    <w:p w:rsidR="009F4245" w:rsidRPr="009F4245" w:rsidRDefault="009F4245" w:rsidP="002C3512">
      <w:pPr>
        <w:shd w:val="clear" w:color="auto" w:fill="FFFFFF"/>
        <w:spacing w:before="100" w:beforeAutospacing="1" w:after="100" w:afterAutospacing="1" w:line="240" w:lineRule="auto"/>
        <w:jc w:val="both"/>
        <w:rPr>
          <w:rFonts w:ascii="Century Schoolbook" w:eastAsia="Times New Roman" w:hAnsi="Century Schoolbook" w:cs="Times New Roman"/>
          <w:color w:val="FF0000"/>
          <w:sz w:val="24"/>
          <w:szCs w:val="24"/>
        </w:rPr>
      </w:pPr>
      <w:r w:rsidRPr="009F4245">
        <w:rPr>
          <w:rFonts w:ascii="Century Schoolbook" w:eastAsia="Times New Roman" w:hAnsi="Century Schoolbook" w:cs="Times New Roman"/>
          <w:color w:val="FF0000"/>
          <w:sz w:val="24"/>
          <w:szCs w:val="24"/>
        </w:rPr>
        <w:t xml:space="preserve">All related employers are deemed a single employer for a SEP or SARSEP under </w:t>
      </w:r>
      <w:hyperlink r:id="rId18" w:history="1">
        <w:r w:rsidRPr="00D43C8A">
          <w:rPr>
            <w:rFonts w:ascii="Century Schoolbook" w:eastAsia="Times New Roman" w:hAnsi="Century Schoolbook" w:cs="Times New Roman"/>
            <w:color w:val="FF0000"/>
            <w:sz w:val="24"/>
            <w:szCs w:val="24"/>
            <w:u w:val="single"/>
          </w:rPr>
          <w:t>Code §408(k)</w:t>
        </w:r>
      </w:hyperlink>
      <w:r w:rsidRPr="009F4245">
        <w:rPr>
          <w:rFonts w:ascii="Century Schoolbook" w:eastAsia="Times New Roman" w:hAnsi="Century Schoolbook" w:cs="Times New Roman"/>
          <w:color w:val="FF0000"/>
          <w:sz w:val="24"/>
          <w:szCs w:val="24"/>
        </w:rPr>
        <w:t>. [</w:t>
      </w:r>
      <w:hyperlink r:id="rId19" w:history="1">
        <w:r w:rsidRPr="00D43C8A">
          <w:rPr>
            <w:rFonts w:ascii="Century Schoolbook" w:eastAsia="Times New Roman" w:hAnsi="Century Schoolbook" w:cs="Times New Roman"/>
            <w:color w:val="FF0000"/>
            <w:sz w:val="24"/>
            <w:szCs w:val="24"/>
            <w:u w:val="single"/>
          </w:rPr>
          <w:t>Code §414(b)</w:t>
        </w:r>
      </w:hyperlink>
      <w:r w:rsidRPr="009F4245">
        <w:rPr>
          <w:rFonts w:ascii="Century Schoolbook" w:eastAsia="Times New Roman" w:hAnsi="Century Schoolbook" w:cs="Times New Roman"/>
          <w:color w:val="FF0000"/>
          <w:sz w:val="24"/>
          <w:szCs w:val="24"/>
        </w:rPr>
        <w:t xml:space="preserve">, </w:t>
      </w:r>
      <w:hyperlink r:id="rId20" w:history="1">
        <w:r w:rsidRPr="00D43C8A">
          <w:rPr>
            <w:rFonts w:ascii="Century Schoolbook" w:eastAsia="Times New Roman" w:hAnsi="Century Schoolbook" w:cs="Times New Roman"/>
            <w:color w:val="FF0000"/>
            <w:sz w:val="24"/>
            <w:szCs w:val="24"/>
            <w:u w:val="single"/>
          </w:rPr>
          <w:t>(c)</w:t>
        </w:r>
      </w:hyperlink>
      <w:r w:rsidRPr="009F4245">
        <w:rPr>
          <w:rFonts w:ascii="Century Schoolbook" w:eastAsia="Times New Roman" w:hAnsi="Century Schoolbook" w:cs="Times New Roman"/>
          <w:color w:val="FF0000"/>
          <w:sz w:val="24"/>
          <w:szCs w:val="24"/>
        </w:rPr>
        <w:t xml:space="preserve">, </w:t>
      </w:r>
      <w:hyperlink r:id="rId21" w:history="1">
        <w:r w:rsidRPr="00D43C8A">
          <w:rPr>
            <w:rFonts w:ascii="Century Schoolbook" w:eastAsia="Times New Roman" w:hAnsi="Century Schoolbook" w:cs="Times New Roman"/>
            <w:color w:val="FF0000"/>
            <w:sz w:val="24"/>
            <w:szCs w:val="24"/>
            <w:u w:val="single"/>
          </w:rPr>
          <w:t>(m)(4)(B)</w:t>
        </w:r>
      </w:hyperlink>
      <w:r w:rsidRPr="00D43C8A">
        <w:rPr>
          <w:rFonts w:ascii="Century Schoolbook" w:eastAsia="Times New Roman" w:hAnsi="Century Schoolbook" w:cs="Times New Roman"/>
          <w:color w:val="FF0000"/>
          <w:sz w:val="24"/>
          <w:szCs w:val="24"/>
        </w:rPr>
        <w:t xml:space="preserve">} </w:t>
      </w:r>
      <w:r w:rsidRPr="009F4245">
        <w:rPr>
          <w:rFonts w:ascii="Century Schoolbook" w:eastAsia="Times New Roman" w:hAnsi="Century Schoolbook" w:cs="Times New Roman"/>
          <w:color w:val="FF0000"/>
          <w:sz w:val="24"/>
          <w:szCs w:val="24"/>
        </w:rPr>
        <w:t>Therefore:</w:t>
      </w:r>
    </w:p>
    <w:p w:rsidR="009F4245" w:rsidRPr="009F4245" w:rsidRDefault="009F4245" w:rsidP="002C3512">
      <w:pPr>
        <w:numPr>
          <w:ilvl w:val="0"/>
          <w:numId w:val="3"/>
        </w:numPr>
        <w:shd w:val="clear" w:color="auto" w:fill="FFFFFF"/>
        <w:spacing w:before="100" w:beforeAutospacing="1" w:after="100" w:afterAutospacing="1" w:line="240" w:lineRule="auto"/>
        <w:jc w:val="both"/>
        <w:rPr>
          <w:rFonts w:ascii="Century Schoolbook" w:eastAsia="Times New Roman" w:hAnsi="Century Schoolbook" w:cs="Times New Roman"/>
          <w:color w:val="FF0000"/>
          <w:sz w:val="24"/>
          <w:szCs w:val="24"/>
        </w:rPr>
      </w:pPr>
      <w:r w:rsidRPr="009F4245">
        <w:rPr>
          <w:rFonts w:ascii="Century Schoolbook" w:eastAsia="Times New Roman" w:hAnsi="Century Schoolbook" w:cs="Times New Roman"/>
          <w:color w:val="FF0000"/>
          <w:sz w:val="24"/>
          <w:szCs w:val="24"/>
        </w:rPr>
        <w:t>Employees of all group members who satisfy the plan’s age, service, and compensation requirements, if any, must be eligible to participate. [</w:t>
      </w:r>
      <w:hyperlink r:id="rId22" w:history="1">
        <w:r w:rsidRPr="00D43C8A">
          <w:rPr>
            <w:rFonts w:ascii="Century Schoolbook" w:eastAsia="Times New Roman" w:hAnsi="Century Schoolbook" w:cs="Times New Roman"/>
            <w:color w:val="FF0000"/>
            <w:sz w:val="24"/>
            <w:szCs w:val="24"/>
            <w:u w:val="single"/>
          </w:rPr>
          <w:t>Code §408(k)(2)</w:t>
        </w:r>
      </w:hyperlink>
      <w:r w:rsidRPr="009F4245">
        <w:rPr>
          <w:rFonts w:ascii="Century Schoolbook" w:eastAsia="Times New Roman" w:hAnsi="Century Schoolbook" w:cs="Times New Roman"/>
          <w:color w:val="FF0000"/>
          <w:sz w:val="24"/>
          <w:szCs w:val="24"/>
        </w:rPr>
        <w:t xml:space="preserve">] </w:t>
      </w:r>
    </w:p>
    <w:p w:rsidR="009F4245" w:rsidRPr="009F4245" w:rsidRDefault="009F4245" w:rsidP="002C3512">
      <w:pPr>
        <w:numPr>
          <w:ilvl w:val="0"/>
          <w:numId w:val="3"/>
        </w:numPr>
        <w:shd w:val="clear" w:color="auto" w:fill="FFFFFF"/>
        <w:spacing w:before="100" w:beforeAutospacing="1" w:after="100" w:afterAutospacing="1" w:line="240" w:lineRule="auto"/>
        <w:jc w:val="both"/>
        <w:rPr>
          <w:rFonts w:ascii="Century Schoolbook" w:eastAsia="Times New Roman" w:hAnsi="Century Schoolbook" w:cs="Times New Roman"/>
          <w:color w:val="FF0000"/>
          <w:sz w:val="24"/>
          <w:szCs w:val="24"/>
        </w:rPr>
      </w:pPr>
      <w:r w:rsidRPr="009F4245">
        <w:rPr>
          <w:rFonts w:ascii="Century Schoolbook" w:eastAsia="Times New Roman" w:hAnsi="Century Schoolbook" w:cs="Times New Roman"/>
          <w:color w:val="FF0000"/>
          <w:sz w:val="24"/>
          <w:szCs w:val="24"/>
        </w:rPr>
        <w:lastRenderedPageBreak/>
        <w:t>All eligible employees of all group members are considered in determining if contributions are discriminatory. [</w:t>
      </w:r>
      <w:hyperlink r:id="rId23" w:history="1">
        <w:r w:rsidRPr="00D43C8A">
          <w:rPr>
            <w:rFonts w:ascii="Century Schoolbook" w:eastAsia="Times New Roman" w:hAnsi="Century Schoolbook" w:cs="Times New Roman"/>
            <w:color w:val="FF0000"/>
            <w:sz w:val="24"/>
            <w:szCs w:val="24"/>
            <w:u w:val="single"/>
          </w:rPr>
          <w:t>Code §408(k)(3)</w:t>
        </w:r>
      </w:hyperlink>
      <w:r w:rsidRPr="009F4245">
        <w:rPr>
          <w:rFonts w:ascii="Century Schoolbook" w:eastAsia="Times New Roman" w:hAnsi="Century Schoolbook" w:cs="Times New Roman"/>
          <w:color w:val="FF0000"/>
          <w:sz w:val="24"/>
          <w:szCs w:val="24"/>
        </w:rPr>
        <w:t>]</w:t>
      </w:r>
    </w:p>
    <w:p w:rsidR="009F4245" w:rsidRPr="009F4245" w:rsidRDefault="009F4245" w:rsidP="002C3512">
      <w:pPr>
        <w:numPr>
          <w:ilvl w:val="0"/>
          <w:numId w:val="3"/>
        </w:numPr>
        <w:shd w:val="clear" w:color="auto" w:fill="FFFFFF"/>
        <w:spacing w:before="100" w:beforeAutospacing="1" w:after="100" w:afterAutospacing="1" w:line="240" w:lineRule="auto"/>
        <w:jc w:val="both"/>
        <w:rPr>
          <w:rFonts w:ascii="Century Schoolbook" w:eastAsia="Times New Roman" w:hAnsi="Century Schoolbook" w:cs="Times New Roman"/>
          <w:color w:val="FF0000"/>
          <w:sz w:val="24"/>
          <w:szCs w:val="24"/>
        </w:rPr>
      </w:pPr>
      <w:r w:rsidRPr="009F4245">
        <w:rPr>
          <w:rFonts w:ascii="Century Schoolbook" w:eastAsia="Times New Roman" w:hAnsi="Century Schoolbook" w:cs="Times New Roman"/>
          <w:color w:val="FF0000"/>
          <w:sz w:val="24"/>
          <w:szCs w:val="24"/>
        </w:rPr>
        <w:t>Compensation paid to employees by all group members is considered in determining the contribution for each eligible employee. [</w:t>
      </w:r>
      <w:hyperlink r:id="rId24" w:history="1">
        <w:r w:rsidRPr="00D43C8A">
          <w:rPr>
            <w:rFonts w:ascii="Century Schoolbook" w:eastAsia="Times New Roman" w:hAnsi="Century Schoolbook" w:cs="Times New Roman"/>
            <w:color w:val="FF0000"/>
            <w:sz w:val="24"/>
            <w:szCs w:val="24"/>
            <w:u w:val="single"/>
          </w:rPr>
          <w:t>Code §408(k)(3)(C)</w:t>
        </w:r>
      </w:hyperlink>
      <w:r w:rsidRPr="009F4245">
        <w:rPr>
          <w:rFonts w:ascii="Century Schoolbook" w:eastAsia="Times New Roman" w:hAnsi="Century Schoolbook" w:cs="Times New Roman"/>
          <w:color w:val="FF0000"/>
          <w:sz w:val="24"/>
          <w:szCs w:val="24"/>
        </w:rPr>
        <w:t>]</w:t>
      </w:r>
    </w:p>
    <w:p w:rsidR="009F4245" w:rsidRPr="009F4245" w:rsidRDefault="009F4245" w:rsidP="002C3512">
      <w:pPr>
        <w:numPr>
          <w:ilvl w:val="0"/>
          <w:numId w:val="3"/>
        </w:numPr>
        <w:shd w:val="clear" w:color="auto" w:fill="FFFFFF"/>
        <w:spacing w:before="100" w:beforeAutospacing="1" w:after="100" w:afterAutospacing="1" w:line="240" w:lineRule="auto"/>
        <w:jc w:val="both"/>
        <w:rPr>
          <w:rFonts w:ascii="Century Schoolbook" w:eastAsia="Times New Roman" w:hAnsi="Century Schoolbook" w:cs="Times New Roman"/>
          <w:color w:val="FF0000"/>
          <w:sz w:val="24"/>
          <w:szCs w:val="24"/>
        </w:rPr>
      </w:pPr>
      <w:r w:rsidRPr="009F4245">
        <w:rPr>
          <w:rFonts w:ascii="Century Schoolbook" w:eastAsia="Times New Roman" w:hAnsi="Century Schoolbook" w:cs="Times New Roman"/>
          <w:color w:val="FF0000"/>
          <w:sz w:val="24"/>
          <w:szCs w:val="24"/>
        </w:rPr>
        <w:t>If the plan is a SARSEP:</w:t>
      </w:r>
    </w:p>
    <w:p w:rsidR="009F4245" w:rsidRPr="009F4245" w:rsidRDefault="009F4245" w:rsidP="002C3512">
      <w:pPr>
        <w:numPr>
          <w:ilvl w:val="1"/>
          <w:numId w:val="3"/>
        </w:numPr>
        <w:shd w:val="clear" w:color="auto" w:fill="FFFFFF"/>
        <w:spacing w:before="100" w:beforeAutospacing="1" w:after="100" w:afterAutospacing="1" w:line="240" w:lineRule="auto"/>
        <w:jc w:val="both"/>
        <w:rPr>
          <w:rFonts w:ascii="Century Schoolbook" w:eastAsia="Times New Roman" w:hAnsi="Century Schoolbook" w:cs="Times New Roman"/>
          <w:color w:val="FF0000"/>
          <w:sz w:val="24"/>
          <w:szCs w:val="24"/>
        </w:rPr>
      </w:pPr>
      <w:r w:rsidRPr="009F4245">
        <w:rPr>
          <w:rFonts w:ascii="Century Schoolbook" w:eastAsia="Times New Roman" w:hAnsi="Century Schoolbook" w:cs="Times New Roman"/>
          <w:color w:val="FF0000"/>
          <w:sz w:val="24"/>
          <w:szCs w:val="24"/>
        </w:rPr>
        <w:t>All employees of all group members are added to determine if the plan has over 25 eligible employees at any time during the prior plan year and hence must be discontinued. [</w:t>
      </w:r>
      <w:hyperlink r:id="rId25" w:history="1">
        <w:r w:rsidRPr="00D43C8A">
          <w:rPr>
            <w:rFonts w:ascii="Century Schoolbook" w:eastAsia="Times New Roman" w:hAnsi="Century Schoolbook" w:cs="Times New Roman"/>
            <w:color w:val="FF0000"/>
            <w:sz w:val="24"/>
            <w:szCs w:val="24"/>
            <w:u w:val="single"/>
          </w:rPr>
          <w:t>Code §408(k)(6)(B)</w:t>
        </w:r>
      </w:hyperlink>
      <w:r w:rsidRPr="009F4245">
        <w:rPr>
          <w:rFonts w:ascii="Century Schoolbook" w:eastAsia="Times New Roman" w:hAnsi="Century Schoolbook" w:cs="Times New Roman"/>
          <w:color w:val="FF0000"/>
          <w:sz w:val="24"/>
          <w:szCs w:val="24"/>
        </w:rPr>
        <w:t>]</w:t>
      </w:r>
    </w:p>
    <w:p w:rsidR="009F4245" w:rsidRPr="009F4245" w:rsidRDefault="009F4245" w:rsidP="002C3512">
      <w:pPr>
        <w:numPr>
          <w:ilvl w:val="1"/>
          <w:numId w:val="3"/>
        </w:numPr>
        <w:shd w:val="clear" w:color="auto" w:fill="FFFFFF"/>
        <w:spacing w:before="100" w:beforeAutospacing="1" w:after="100" w:afterAutospacing="1" w:line="240" w:lineRule="auto"/>
        <w:jc w:val="both"/>
        <w:rPr>
          <w:rFonts w:ascii="Century Schoolbook" w:eastAsia="Times New Roman" w:hAnsi="Century Schoolbook" w:cs="Times New Roman"/>
          <w:color w:val="FF0000"/>
          <w:sz w:val="24"/>
          <w:szCs w:val="24"/>
        </w:rPr>
      </w:pPr>
      <w:r w:rsidRPr="009F4245">
        <w:rPr>
          <w:rFonts w:ascii="Century Schoolbook" w:eastAsia="Times New Roman" w:hAnsi="Century Schoolbook" w:cs="Times New Roman"/>
          <w:color w:val="FF0000"/>
          <w:sz w:val="24"/>
          <w:szCs w:val="24"/>
        </w:rPr>
        <w:t>All eligible employees of all group members must be considered to determine if the 50% participation rate requirement has been satisfied for the current plan year. [</w:t>
      </w:r>
      <w:hyperlink r:id="rId26" w:history="1">
        <w:r w:rsidRPr="00D43C8A">
          <w:rPr>
            <w:rFonts w:ascii="Century Schoolbook" w:eastAsia="Times New Roman" w:hAnsi="Century Schoolbook" w:cs="Times New Roman"/>
            <w:color w:val="FF0000"/>
            <w:sz w:val="24"/>
            <w:szCs w:val="24"/>
            <w:u w:val="single"/>
          </w:rPr>
          <w:t>Code §408(k)(6)(A)(ii)</w:t>
        </w:r>
      </w:hyperlink>
      <w:r w:rsidRPr="009F4245">
        <w:rPr>
          <w:rFonts w:ascii="Century Schoolbook" w:eastAsia="Times New Roman" w:hAnsi="Century Schoolbook" w:cs="Times New Roman"/>
          <w:color w:val="FF0000"/>
          <w:sz w:val="24"/>
          <w:szCs w:val="24"/>
        </w:rPr>
        <w:t>]</w:t>
      </w:r>
    </w:p>
    <w:p w:rsidR="009F4245" w:rsidRPr="00D43C8A" w:rsidRDefault="009F4245" w:rsidP="002C3512">
      <w:pPr>
        <w:numPr>
          <w:ilvl w:val="1"/>
          <w:numId w:val="3"/>
        </w:numPr>
        <w:shd w:val="clear" w:color="auto" w:fill="FFFFFF"/>
        <w:spacing w:before="100" w:beforeAutospacing="1" w:after="100" w:afterAutospacing="1" w:line="240" w:lineRule="auto"/>
        <w:jc w:val="both"/>
        <w:rPr>
          <w:rFonts w:ascii="Verdana" w:eastAsia="Times New Roman" w:hAnsi="Verdana" w:cs="Times New Roman"/>
          <w:sz w:val="24"/>
          <w:szCs w:val="24"/>
        </w:rPr>
      </w:pPr>
      <w:r w:rsidRPr="009F4245">
        <w:rPr>
          <w:rFonts w:ascii="Century Schoolbook" w:eastAsia="Times New Roman" w:hAnsi="Century Schoolbook" w:cs="Times New Roman"/>
          <w:color w:val="FF0000"/>
          <w:sz w:val="24"/>
          <w:szCs w:val="24"/>
        </w:rPr>
        <w:t xml:space="preserve">All eligible employees of all group members must be considered in determining the 125% deferral ratio test under </w:t>
      </w:r>
      <w:hyperlink r:id="rId27" w:history="1">
        <w:r w:rsidRPr="00D43C8A">
          <w:rPr>
            <w:rFonts w:ascii="Century Schoolbook" w:eastAsia="Times New Roman" w:hAnsi="Century Schoolbook" w:cs="Times New Roman"/>
            <w:color w:val="FF0000"/>
            <w:sz w:val="24"/>
            <w:szCs w:val="24"/>
            <w:u w:val="single"/>
          </w:rPr>
          <w:t>Code §408(k)(6)(A)(iii)</w:t>
        </w:r>
      </w:hyperlink>
      <w:r w:rsidRPr="009F4245">
        <w:rPr>
          <w:rFonts w:ascii="Century Schoolbook" w:eastAsia="Times New Roman" w:hAnsi="Century Schoolbook" w:cs="Times New Roman"/>
          <w:color w:val="FF0000"/>
          <w:sz w:val="24"/>
          <w:szCs w:val="24"/>
        </w:rPr>
        <w:t>.</w:t>
      </w:r>
    </w:p>
    <w:p w:rsidR="00D43C8A" w:rsidRDefault="00D43C8A" w:rsidP="002C3512">
      <w:pPr>
        <w:pStyle w:val="ListParagraph"/>
        <w:jc w:val="both"/>
        <w:rPr>
          <w:rFonts w:ascii="Century Schoolbook" w:hAnsi="Century Schoolbook"/>
          <w:sz w:val="24"/>
          <w:szCs w:val="24"/>
        </w:rPr>
      </w:pPr>
    </w:p>
    <w:p w:rsidR="00473EEB" w:rsidRPr="00A24ED0" w:rsidRDefault="00473EEB"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Are all entities wholly owned by an international holding company related employers regardless of location in the world?</w:t>
      </w:r>
    </w:p>
    <w:p w:rsidR="002E664A" w:rsidRDefault="00082A88" w:rsidP="002C3512">
      <w:pPr>
        <w:jc w:val="both"/>
        <w:rPr>
          <w:rFonts w:ascii="Century Schoolbook" w:hAnsi="Century Schoolbook"/>
          <w:sz w:val="24"/>
          <w:szCs w:val="24"/>
        </w:rPr>
      </w:pPr>
      <w:r>
        <w:rPr>
          <w:rFonts w:ascii="Century Schoolbook" w:hAnsi="Century Schoolbook"/>
          <w:sz w:val="24"/>
          <w:szCs w:val="24"/>
        </w:rPr>
        <w:t xml:space="preserve">Yes.  Interestingly, </w:t>
      </w:r>
      <w:hyperlink r:id="rId28" w:history="1">
        <w:r w:rsidR="00E25BD9">
          <w:rPr>
            <w:rStyle w:val="Hyperlink"/>
            <w:rFonts w:ascii="Century Schoolbook" w:hAnsi="Century Schoolbook"/>
            <w:color w:val="000000" w:themeColor="text1"/>
            <w:sz w:val="24"/>
            <w:szCs w:val="24"/>
          </w:rPr>
          <w:t>Code §1563(b)(2)(C)</w:t>
        </w:r>
      </w:hyperlink>
      <w:r>
        <w:rPr>
          <w:rFonts w:ascii="Century Schoolbook" w:hAnsi="Century Schoolbook"/>
          <w:sz w:val="24"/>
          <w:szCs w:val="24"/>
        </w:rPr>
        <w:t xml:space="preserve"> excludes foreign corporations from being a </w:t>
      </w:r>
      <w:r w:rsidRPr="00082A88">
        <w:rPr>
          <w:rFonts w:ascii="Century Schoolbook" w:hAnsi="Century Schoolbook"/>
          <w:i/>
          <w:sz w:val="24"/>
          <w:szCs w:val="24"/>
        </w:rPr>
        <w:t>component member</w:t>
      </w:r>
      <w:r>
        <w:rPr>
          <w:rFonts w:ascii="Century Schoolbook" w:hAnsi="Century Schoolbook"/>
          <w:sz w:val="24"/>
          <w:szCs w:val="24"/>
        </w:rPr>
        <w:t xml:space="preserve"> of a controlled group for ordinary income tax purposes.  But </w:t>
      </w:r>
      <w:hyperlink r:id="rId29" w:history="1">
        <w:r w:rsidR="00E25BD9">
          <w:rPr>
            <w:rStyle w:val="Hyperlink"/>
            <w:rFonts w:ascii="Century Schoolbook" w:hAnsi="Century Schoolbook"/>
            <w:color w:val="000000" w:themeColor="text1"/>
            <w:sz w:val="24"/>
            <w:szCs w:val="24"/>
          </w:rPr>
          <w:t>Code §414(b)</w:t>
        </w:r>
      </w:hyperlink>
      <w:r>
        <w:rPr>
          <w:rFonts w:ascii="Century Schoolbook" w:hAnsi="Century Schoolbook"/>
          <w:sz w:val="24"/>
          <w:szCs w:val="24"/>
        </w:rPr>
        <w:t xml:space="preserve"> does not concern itself with the component member rules. See </w:t>
      </w:r>
      <w:hyperlink r:id="rId30" w:history="1">
        <w:r w:rsidR="008E2A68">
          <w:rPr>
            <w:rStyle w:val="Hyperlink"/>
            <w:rFonts w:ascii="Century Schoolbook" w:hAnsi="Century Schoolbook"/>
            <w:color w:val="000000" w:themeColor="text1"/>
            <w:sz w:val="24"/>
            <w:szCs w:val="24"/>
          </w:rPr>
          <w:t>Q 8:37</w:t>
        </w:r>
      </w:hyperlink>
      <w:r w:rsidR="00D43C8A">
        <w:rPr>
          <w:rFonts w:ascii="Century Schoolbook" w:hAnsi="Century Schoolbook"/>
          <w:sz w:val="24"/>
          <w:szCs w:val="24"/>
        </w:rPr>
        <w:t>.</w:t>
      </w:r>
      <w:r>
        <w:rPr>
          <w:rFonts w:ascii="Century Schoolbook" w:hAnsi="Century Schoolbook"/>
          <w:sz w:val="24"/>
          <w:szCs w:val="24"/>
        </w:rPr>
        <w:t xml:space="preserve"> Two corporations are related for retirement purposes if they are in a controlled group, whether or not they are component members of the group. </w:t>
      </w:r>
      <w:r w:rsidR="00A24ED0">
        <w:rPr>
          <w:rFonts w:ascii="Century Schoolbook" w:hAnsi="Century Schoolbook"/>
          <w:sz w:val="24"/>
          <w:szCs w:val="24"/>
        </w:rPr>
        <w:t>WTE</w:t>
      </w:r>
      <w:r w:rsidR="00D43C8A">
        <w:rPr>
          <w:rFonts w:ascii="Century Schoolbook" w:hAnsi="Century Schoolbook"/>
          <w:sz w:val="24"/>
          <w:szCs w:val="24"/>
        </w:rPr>
        <w:t xml:space="preserve"> gives two examples involving Acme, a parent corporation, which owns United (and in the second example Universal):</w:t>
      </w:r>
    </w:p>
    <w:p w:rsidR="00D43C8A" w:rsidRPr="00D43C8A" w:rsidRDefault="00D43C8A" w:rsidP="002C3512">
      <w:pPr>
        <w:jc w:val="both"/>
        <w:rPr>
          <w:rFonts w:ascii="Century Schoolbook" w:hAnsi="Century Schoolbook"/>
          <w:color w:val="FF0000"/>
          <w:sz w:val="24"/>
          <w:szCs w:val="24"/>
        </w:rPr>
      </w:pPr>
      <w:r w:rsidRPr="00D43C8A">
        <w:rPr>
          <w:rFonts w:ascii="Century Schoolbook" w:hAnsi="Century Schoolbook"/>
          <w:b/>
          <w:bCs/>
          <w:color w:val="FF0000"/>
          <w:sz w:val="24"/>
          <w:szCs w:val="24"/>
        </w:rPr>
        <w:t>Example 8.39.4</w:t>
      </w:r>
      <w:r w:rsidRPr="00D43C8A">
        <w:rPr>
          <w:rFonts w:ascii="Century Schoolbook" w:hAnsi="Century Schoolbook"/>
          <w:color w:val="FF0000"/>
          <w:sz w:val="24"/>
          <w:szCs w:val="24"/>
        </w:rPr>
        <w:t xml:space="preserve"> Acme is a foreign corporation owned and operated by Hambonian nationals. It is subject to taxation under </w:t>
      </w:r>
      <w:hyperlink r:id="rId31" w:history="1">
        <w:r w:rsidRPr="00D43C8A">
          <w:rPr>
            <w:rStyle w:val="Hyperlink"/>
            <w:rFonts w:ascii="Century Schoolbook" w:hAnsi="Century Schoolbook"/>
            <w:color w:val="FF0000"/>
            <w:sz w:val="24"/>
            <w:szCs w:val="24"/>
          </w:rPr>
          <w:t>Code §882(a)</w:t>
        </w:r>
      </w:hyperlink>
      <w:r w:rsidRPr="00D43C8A">
        <w:rPr>
          <w:rFonts w:ascii="Century Schoolbook" w:hAnsi="Century Schoolbook"/>
          <w:color w:val="FF0000"/>
          <w:sz w:val="24"/>
          <w:szCs w:val="24"/>
        </w:rPr>
        <w:t xml:space="preserve">. It is excluded from being a component member of a controlled group. Neither corporation is subject to the </w:t>
      </w:r>
      <w:hyperlink r:id="rId32" w:history="1">
        <w:r w:rsidRPr="00D43C8A">
          <w:rPr>
            <w:rStyle w:val="Hyperlink"/>
            <w:rFonts w:ascii="Century Schoolbook" w:hAnsi="Century Schoolbook"/>
            <w:color w:val="FF0000"/>
            <w:sz w:val="24"/>
            <w:szCs w:val="24"/>
          </w:rPr>
          <w:t>Code §1561</w:t>
        </w:r>
      </w:hyperlink>
      <w:r w:rsidRPr="00D43C8A">
        <w:rPr>
          <w:rFonts w:ascii="Century Schoolbook" w:hAnsi="Century Schoolbook"/>
          <w:color w:val="FF0000"/>
          <w:sz w:val="24"/>
          <w:szCs w:val="24"/>
        </w:rPr>
        <w:t xml:space="preserve"> ordinary income tax restrictions. . . . Both corporations are part of a controlled group for retirement plan purposes.</w:t>
      </w:r>
    </w:p>
    <w:p w:rsidR="00D43C8A" w:rsidRPr="00D43C8A" w:rsidRDefault="00D43C8A" w:rsidP="002C3512">
      <w:pPr>
        <w:jc w:val="both"/>
        <w:rPr>
          <w:rFonts w:ascii="Century Schoolbook" w:hAnsi="Century Schoolbook"/>
          <w:color w:val="FF0000"/>
          <w:sz w:val="24"/>
          <w:szCs w:val="24"/>
        </w:rPr>
      </w:pPr>
      <w:r w:rsidRPr="00D43C8A">
        <w:rPr>
          <w:rFonts w:ascii="Century Schoolbook" w:hAnsi="Century Schoolbook"/>
          <w:b/>
          <w:bCs/>
          <w:color w:val="FF0000"/>
          <w:sz w:val="24"/>
          <w:szCs w:val="24"/>
        </w:rPr>
        <w:t>Example 8.39.5</w:t>
      </w:r>
      <w:r w:rsidRPr="00D43C8A">
        <w:rPr>
          <w:rFonts w:ascii="Century Schoolbook" w:hAnsi="Century Schoolbook"/>
          <w:color w:val="FF0000"/>
          <w:sz w:val="24"/>
          <w:szCs w:val="24"/>
        </w:rPr>
        <w:t xml:space="preserve"> Continuing Example 8.39.4, Acme also owns 100% of Universal Corporation. Acme, United, and Universal are a single controlled group. Acme is excluded from being a component member of the group because it is a foreign corporation. However, United and Universal are both component members of a controlled group and must file their corporate income tax returns on that basis. All three are a single controlled group for retirement plan purposes.</w:t>
      </w:r>
    </w:p>
    <w:p w:rsidR="00CE2CC2" w:rsidRDefault="00CE2CC2" w:rsidP="002C3512">
      <w:pPr>
        <w:jc w:val="both"/>
        <w:rPr>
          <w:rFonts w:ascii="Century Schoolbook" w:hAnsi="Century Schoolbook"/>
          <w:sz w:val="24"/>
          <w:szCs w:val="24"/>
        </w:rPr>
      </w:pPr>
    </w:p>
    <w:p w:rsidR="00CE2CC2" w:rsidRDefault="00CE2CC2">
      <w:pPr>
        <w:rPr>
          <w:rFonts w:ascii="Century Schoolbook" w:hAnsi="Century Schoolbook"/>
          <w:sz w:val="24"/>
          <w:szCs w:val="24"/>
        </w:rPr>
      </w:pPr>
      <w:r>
        <w:rPr>
          <w:rFonts w:ascii="Century Schoolbook" w:hAnsi="Century Schoolbook"/>
          <w:sz w:val="24"/>
          <w:szCs w:val="24"/>
        </w:rPr>
        <w:br w:type="page"/>
      </w:r>
    </w:p>
    <w:p w:rsidR="00D43C8A" w:rsidRPr="00EC19FD" w:rsidRDefault="00D43C8A" w:rsidP="002C3512">
      <w:pPr>
        <w:jc w:val="both"/>
        <w:rPr>
          <w:rFonts w:ascii="Century Schoolbook" w:hAnsi="Century Schoolbook"/>
          <w:sz w:val="24"/>
          <w:szCs w:val="24"/>
        </w:rPr>
      </w:pPr>
    </w:p>
    <w:p w:rsidR="002E664A" w:rsidRPr="00A24ED0" w:rsidRDefault="002E664A"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When plans are tested separately, is the testing population the workforce of the controlled group or the single firm.</w:t>
      </w:r>
    </w:p>
    <w:p w:rsidR="002E664A" w:rsidRDefault="00D43C8A" w:rsidP="002C3512">
      <w:pPr>
        <w:jc w:val="both"/>
        <w:rPr>
          <w:rFonts w:ascii="Century Schoolbook" w:hAnsi="Century Schoolbook"/>
          <w:sz w:val="24"/>
          <w:szCs w:val="24"/>
        </w:rPr>
      </w:pPr>
      <w:r>
        <w:rPr>
          <w:rFonts w:ascii="Century Schoolbook" w:hAnsi="Century Schoolbook"/>
          <w:sz w:val="24"/>
          <w:szCs w:val="24"/>
        </w:rPr>
        <w:t xml:space="preserve">The population used for the denominator includes the employees of the entire group. That is the consequence of them being treated as a single employer.  </w:t>
      </w:r>
      <w:hyperlink r:id="rId33" w:history="1">
        <w:r w:rsidR="008E2A68">
          <w:rPr>
            <w:rStyle w:val="Hyperlink"/>
            <w:rFonts w:ascii="Century Schoolbook" w:hAnsi="Century Schoolbook"/>
            <w:color w:val="000000" w:themeColor="text1"/>
            <w:sz w:val="24"/>
            <w:szCs w:val="24"/>
          </w:rPr>
          <w:t>Q 23:4</w:t>
        </w:r>
      </w:hyperlink>
      <w:r>
        <w:rPr>
          <w:rFonts w:ascii="Century Schoolbook" w:hAnsi="Century Schoolbook"/>
          <w:sz w:val="24"/>
          <w:szCs w:val="24"/>
        </w:rPr>
        <w:t xml:space="preserve"> says:</w:t>
      </w:r>
    </w:p>
    <w:p w:rsidR="00D43C8A" w:rsidRPr="00A24ED0" w:rsidRDefault="00D43C8A" w:rsidP="002C3512">
      <w:pPr>
        <w:jc w:val="both"/>
        <w:rPr>
          <w:rFonts w:ascii="Century Schoolbook" w:hAnsi="Century Schoolbook"/>
          <w:color w:val="FF0000"/>
          <w:sz w:val="24"/>
          <w:szCs w:val="24"/>
        </w:rPr>
      </w:pPr>
      <w:r w:rsidRPr="00A24ED0">
        <w:rPr>
          <w:rFonts w:ascii="Century Schoolbook" w:hAnsi="Century Schoolbook"/>
          <w:color w:val="FF0000"/>
          <w:sz w:val="24"/>
          <w:szCs w:val="24"/>
        </w:rPr>
        <w:t xml:space="preserve">A plan must consider all employees of the employer as defined in </w:t>
      </w:r>
      <w:hyperlink r:id="rId34" w:history="1">
        <w:r w:rsidRPr="00A24ED0">
          <w:rPr>
            <w:rStyle w:val="Hyperlink"/>
            <w:rFonts w:ascii="Century Schoolbook" w:hAnsi="Century Schoolbook"/>
            <w:color w:val="FF0000"/>
            <w:sz w:val="24"/>
            <w:szCs w:val="24"/>
          </w:rPr>
          <w:t>Chapter 1</w:t>
        </w:r>
      </w:hyperlink>
      <w:r w:rsidRPr="00A24ED0">
        <w:rPr>
          <w:rFonts w:ascii="Century Schoolbook" w:hAnsi="Century Schoolbook"/>
          <w:color w:val="FF0000"/>
          <w:sz w:val="24"/>
          <w:szCs w:val="24"/>
        </w:rPr>
        <w:t>. This includes common-law employees, self-employed individuals, leased employees, and shared employees (which are a type of common-law employee). Since all employees of controlled group, common control, and affiliated service group members are deemed employed by a single employer, the plan must consider all employees of all related employers. [</w:t>
      </w:r>
      <w:hyperlink r:id="rId35" w:history="1">
        <w:r w:rsidRPr="00A24ED0">
          <w:rPr>
            <w:rStyle w:val="Hyperlink"/>
            <w:rFonts w:ascii="Century Schoolbook" w:hAnsi="Century Schoolbook"/>
            <w:color w:val="FF0000"/>
            <w:sz w:val="24"/>
            <w:szCs w:val="24"/>
          </w:rPr>
          <w:t>Treas. Reg. §1.410(b)-9</w:t>
        </w:r>
      </w:hyperlink>
      <w:r w:rsidRPr="00A24ED0">
        <w:rPr>
          <w:rFonts w:ascii="Century Schoolbook" w:hAnsi="Century Schoolbook"/>
          <w:color w:val="FF0000"/>
          <w:sz w:val="24"/>
          <w:szCs w:val="24"/>
        </w:rPr>
        <w:t>] However, the plan disregards excludable employees from the coverage test. [</w:t>
      </w:r>
      <w:hyperlink r:id="rId36" w:history="1">
        <w:r w:rsidRPr="00A24ED0">
          <w:rPr>
            <w:rStyle w:val="Hyperlink"/>
            <w:rFonts w:ascii="Century Schoolbook" w:hAnsi="Century Schoolbook"/>
            <w:color w:val="FF0000"/>
            <w:sz w:val="24"/>
            <w:szCs w:val="24"/>
          </w:rPr>
          <w:t xml:space="preserve">Q </w:t>
        </w:r>
        <w:r w:rsidRPr="00A24ED0">
          <w:rPr>
            <w:rStyle w:val="Hyperlink"/>
            <w:rFonts w:ascii="Century Schoolbook" w:hAnsi="Century Schoolbook"/>
            <w:color w:val="FF0000"/>
            <w:sz w:val="24"/>
            <w:szCs w:val="24"/>
          </w:rPr>
          <w:t>2</w:t>
        </w:r>
        <w:r w:rsidRPr="00A24ED0">
          <w:rPr>
            <w:rStyle w:val="Hyperlink"/>
            <w:rFonts w:ascii="Century Schoolbook" w:hAnsi="Century Schoolbook"/>
            <w:color w:val="FF0000"/>
            <w:sz w:val="24"/>
            <w:szCs w:val="24"/>
          </w:rPr>
          <w:t>3:5</w:t>
        </w:r>
      </w:hyperlink>
      <w:r w:rsidRPr="00A24ED0">
        <w:rPr>
          <w:rFonts w:ascii="Century Schoolbook" w:hAnsi="Century Schoolbook"/>
          <w:color w:val="FF0000"/>
          <w:sz w:val="24"/>
          <w:szCs w:val="24"/>
        </w:rPr>
        <w:t>]</w:t>
      </w:r>
    </w:p>
    <w:p w:rsidR="00D43C8A" w:rsidRPr="00EC19FD" w:rsidRDefault="002F144E" w:rsidP="002F144E">
      <w:pPr>
        <w:tabs>
          <w:tab w:val="left" w:pos="2760"/>
        </w:tabs>
        <w:jc w:val="both"/>
        <w:rPr>
          <w:rFonts w:ascii="Century Schoolbook" w:hAnsi="Century Schoolbook"/>
          <w:sz w:val="24"/>
          <w:szCs w:val="24"/>
        </w:rPr>
      </w:pPr>
      <w:r>
        <w:rPr>
          <w:rFonts w:ascii="Century Schoolbook" w:hAnsi="Century Schoolbook"/>
          <w:sz w:val="24"/>
          <w:szCs w:val="24"/>
        </w:rPr>
        <w:tab/>
      </w:r>
    </w:p>
    <w:p w:rsidR="002E664A" w:rsidRPr="00A24ED0" w:rsidRDefault="002E664A"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 xml:space="preserve">As far as the permissive aggregation is concerned with safe harbor plans, what if the same contribution method is used, but at different levels:  plan one has 3% SHNEC; plan 2 has SHNEC of 5%.   Is </w:t>
      </w:r>
      <w:r w:rsidR="00A133CA" w:rsidRPr="00A24ED0">
        <w:rPr>
          <w:rFonts w:ascii="Century Schoolbook" w:hAnsi="Century Schoolbook"/>
          <w:i/>
          <w:sz w:val="24"/>
          <w:szCs w:val="24"/>
        </w:rPr>
        <w:t>this</w:t>
      </w:r>
      <w:r w:rsidRPr="00A24ED0">
        <w:rPr>
          <w:rFonts w:ascii="Century Schoolbook" w:hAnsi="Century Schoolbook"/>
          <w:i/>
          <w:sz w:val="24"/>
          <w:szCs w:val="24"/>
        </w:rPr>
        <w:t xml:space="preserve"> permiss</w:t>
      </w:r>
      <w:r w:rsidR="00A133CA" w:rsidRPr="00A24ED0">
        <w:rPr>
          <w:rFonts w:ascii="Century Schoolbook" w:hAnsi="Century Schoolbook"/>
          <w:i/>
          <w:sz w:val="24"/>
          <w:szCs w:val="24"/>
        </w:rPr>
        <w:t xml:space="preserve">ible? </w:t>
      </w:r>
      <w:r w:rsidRPr="00A24ED0">
        <w:rPr>
          <w:rFonts w:ascii="Century Schoolbook" w:hAnsi="Century Schoolbook"/>
          <w:i/>
          <w:sz w:val="24"/>
          <w:szCs w:val="24"/>
        </w:rPr>
        <w:t xml:space="preserve">If so, Is this a BRF issue or a 401(a)(4) issue?  </w:t>
      </w:r>
    </w:p>
    <w:p w:rsidR="002E664A" w:rsidRDefault="00D43C8A" w:rsidP="002C3512">
      <w:pPr>
        <w:jc w:val="both"/>
        <w:rPr>
          <w:rFonts w:ascii="Century Schoolbook" w:hAnsi="Century Schoolbook"/>
          <w:sz w:val="24"/>
          <w:szCs w:val="24"/>
        </w:rPr>
      </w:pPr>
      <w:r>
        <w:rPr>
          <w:rFonts w:ascii="Century Schoolbook" w:hAnsi="Century Schoolbook"/>
          <w:sz w:val="24"/>
          <w:szCs w:val="24"/>
        </w:rPr>
        <w:t>The answer differs depending on whether you are talking about nonelective or match.</w:t>
      </w:r>
    </w:p>
    <w:p w:rsidR="00D43C8A" w:rsidRDefault="00D43C8A" w:rsidP="002C3512">
      <w:pPr>
        <w:jc w:val="both"/>
        <w:rPr>
          <w:rFonts w:ascii="Century Schoolbook" w:hAnsi="Century Schoolbook"/>
          <w:sz w:val="24"/>
          <w:szCs w:val="24"/>
        </w:rPr>
      </w:pPr>
      <w:r>
        <w:rPr>
          <w:rFonts w:ascii="Century Schoolbook" w:hAnsi="Century Schoolbook"/>
          <w:sz w:val="24"/>
          <w:szCs w:val="24"/>
        </w:rPr>
        <w:t xml:space="preserve">The safe harbor match rules include the requirement that no HCE can have a rate of match higher than that of any NHCE.  </w:t>
      </w:r>
      <w:r w:rsidR="00DF2859">
        <w:rPr>
          <w:rFonts w:ascii="Century Schoolbook" w:hAnsi="Century Schoolbook"/>
          <w:sz w:val="24"/>
          <w:szCs w:val="24"/>
        </w:rPr>
        <w:t xml:space="preserve">This is true of </w:t>
      </w:r>
      <w:r w:rsidR="00A24ED0">
        <w:rPr>
          <w:rFonts w:ascii="Century Schoolbook" w:hAnsi="Century Schoolbook"/>
          <w:sz w:val="24"/>
          <w:szCs w:val="24"/>
        </w:rPr>
        <w:t xml:space="preserve">both </w:t>
      </w:r>
      <w:r w:rsidR="00DF2859">
        <w:rPr>
          <w:rFonts w:ascii="Century Schoolbook" w:hAnsi="Century Schoolbook"/>
          <w:sz w:val="24"/>
          <w:szCs w:val="24"/>
        </w:rPr>
        <w:t xml:space="preserve">the ADP and the ACP safe harbor. </w:t>
      </w:r>
      <w:hyperlink r:id="rId37" w:history="1">
        <w:r w:rsidR="00CA175B">
          <w:rPr>
            <w:rStyle w:val="Hyperlink"/>
            <w:rFonts w:ascii="Century Schoolbook" w:hAnsi="Century Schoolbook"/>
            <w:color w:val="000000" w:themeColor="text1"/>
            <w:sz w:val="24"/>
            <w:szCs w:val="24"/>
          </w:rPr>
          <w:t>Treas. Reg. §§1.401(k)-3(c)(4)</w:t>
        </w:r>
      </w:hyperlink>
      <w:r w:rsidR="00DF2859">
        <w:rPr>
          <w:rFonts w:ascii="Century Schoolbook" w:hAnsi="Century Schoolbook"/>
          <w:sz w:val="24"/>
          <w:szCs w:val="24"/>
        </w:rPr>
        <w:t xml:space="preserve">, </w:t>
      </w:r>
      <w:hyperlink r:id="rId38" w:history="1">
        <w:r w:rsidR="00CA175B">
          <w:rPr>
            <w:rStyle w:val="Hyperlink"/>
            <w:rFonts w:ascii="Century Schoolbook" w:hAnsi="Century Schoolbook"/>
            <w:color w:val="000000" w:themeColor="text1"/>
            <w:sz w:val="24"/>
            <w:szCs w:val="24"/>
          </w:rPr>
          <w:t>Treas. Reg. 1.401(m)-3(d)(4)</w:t>
        </w:r>
      </w:hyperlink>
      <w:r w:rsidR="00DF2859">
        <w:rPr>
          <w:rFonts w:ascii="Century Schoolbook" w:hAnsi="Century Schoolbook"/>
          <w:sz w:val="24"/>
          <w:szCs w:val="24"/>
        </w:rPr>
        <w:t xml:space="preserve">. </w:t>
      </w:r>
      <w:r>
        <w:rPr>
          <w:rFonts w:ascii="Century Schoolbook" w:hAnsi="Century Schoolbook"/>
          <w:sz w:val="24"/>
          <w:szCs w:val="24"/>
        </w:rPr>
        <w:t xml:space="preserve">That standard would apply to the aggregated plan as a whole.  </w:t>
      </w:r>
      <w:r w:rsidR="00DF2859">
        <w:rPr>
          <w:rFonts w:ascii="Century Schoolbook" w:hAnsi="Century Schoolbook"/>
          <w:sz w:val="24"/>
          <w:szCs w:val="24"/>
        </w:rPr>
        <w:t>This effectively prevents an employer from permissively aggregating two safe harbor match plans unless they use the same rate of match at every level of elective deferrals.</w:t>
      </w:r>
    </w:p>
    <w:p w:rsidR="00DF2859" w:rsidRDefault="00DF2859" w:rsidP="002C3512">
      <w:pPr>
        <w:jc w:val="both"/>
        <w:rPr>
          <w:rFonts w:ascii="Century Schoolbook" w:hAnsi="Century Schoolbook"/>
          <w:sz w:val="24"/>
          <w:szCs w:val="24"/>
        </w:rPr>
      </w:pPr>
      <w:r>
        <w:rPr>
          <w:rFonts w:ascii="Century Schoolbook" w:hAnsi="Century Schoolbook"/>
          <w:sz w:val="24"/>
          <w:szCs w:val="24"/>
        </w:rPr>
        <w:t xml:space="preserve">The safe harbor nonelective rules do not have any such requirement.  The only limitation on safe harbor nonelective contributions is that each NHCE must receive at least a 3% allocation. </w:t>
      </w:r>
      <w:hyperlink r:id="rId39" w:history="1">
        <w:r w:rsidR="00CA175B">
          <w:rPr>
            <w:rStyle w:val="Hyperlink"/>
            <w:rFonts w:ascii="Century Schoolbook" w:hAnsi="Century Schoolbook"/>
            <w:color w:val="000000" w:themeColor="text1"/>
            <w:sz w:val="24"/>
            <w:szCs w:val="24"/>
          </w:rPr>
          <w:t>Treas. Reg. §1.401(k)-3(b)</w:t>
        </w:r>
      </w:hyperlink>
      <w:r>
        <w:rPr>
          <w:rFonts w:ascii="Century Schoolbook" w:hAnsi="Century Schoolbook"/>
          <w:sz w:val="24"/>
          <w:szCs w:val="24"/>
        </w:rPr>
        <w:t xml:space="preserve">. This is because the safe harbor 401(k) rules do not provide a safe harbor for nonelective contributions.  Nonelective contributions, including SHNECs, are tested together under </w:t>
      </w:r>
      <w:hyperlink r:id="rId40" w:history="1">
        <w:r w:rsidR="00E25BD9">
          <w:rPr>
            <w:rStyle w:val="Hyperlink"/>
            <w:rFonts w:ascii="Century Schoolbook" w:hAnsi="Century Schoolbook"/>
            <w:color w:val="000000" w:themeColor="text1"/>
            <w:sz w:val="24"/>
            <w:szCs w:val="24"/>
          </w:rPr>
          <w:t>Code §401(a)(4)</w:t>
        </w:r>
      </w:hyperlink>
      <w:r>
        <w:rPr>
          <w:rFonts w:ascii="Century Schoolbook" w:hAnsi="Century Schoolbook"/>
          <w:sz w:val="24"/>
          <w:szCs w:val="24"/>
        </w:rPr>
        <w:t>. As a result, the employer could permissively aggregate the two plans you describe.  It would not be a BRF issue, although the plan would likely need to satisfy the general nondiscrimination test.</w:t>
      </w:r>
    </w:p>
    <w:p w:rsidR="00DF2859" w:rsidRPr="00EC19FD" w:rsidRDefault="00DF2859" w:rsidP="002C3512">
      <w:pPr>
        <w:jc w:val="both"/>
        <w:rPr>
          <w:rFonts w:ascii="Century Schoolbook" w:hAnsi="Century Schoolbook"/>
          <w:sz w:val="24"/>
          <w:szCs w:val="24"/>
        </w:rPr>
      </w:pPr>
    </w:p>
    <w:p w:rsidR="002E664A" w:rsidRPr="00A24ED0" w:rsidRDefault="002E664A"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Regarding A and B jointly adopting one plan, can plan sponsor merely adopt a joinder agreement/cosponsor documents instead of TWO adoption agreements as you indicated on slide 11?</w:t>
      </w:r>
    </w:p>
    <w:p w:rsidR="002E664A" w:rsidRDefault="00DF2859" w:rsidP="002C3512">
      <w:pPr>
        <w:jc w:val="both"/>
        <w:rPr>
          <w:rFonts w:ascii="Century Schoolbook" w:hAnsi="Century Schoolbook"/>
          <w:sz w:val="24"/>
          <w:szCs w:val="24"/>
        </w:rPr>
      </w:pPr>
      <w:r>
        <w:rPr>
          <w:rFonts w:ascii="Century Schoolbook" w:hAnsi="Century Schoolbook"/>
          <w:sz w:val="24"/>
          <w:szCs w:val="24"/>
        </w:rPr>
        <w:lastRenderedPageBreak/>
        <w:t>Yes. It is all a matter of the document design.</w:t>
      </w:r>
    </w:p>
    <w:p w:rsidR="005F22CF" w:rsidRPr="00EC19FD" w:rsidRDefault="005F22CF" w:rsidP="002C3512">
      <w:pPr>
        <w:jc w:val="both"/>
        <w:rPr>
          <w:rFonts w:ascii="Century Schoolbook" w:hAnsi="Century Schoolbook"/>
          <w:sz w:val="24"/>
          <w:szCs w:val="24"/>
        </w:rPr>
      </w:pPr>
    </w:p>
    <w:p w:rsidR="002E664A" w:rsidRPr="00A24ED0" w:rsidRDefault="002E664A" w:rsidP="002C3512">
      <w:pPr>
        <w:pStyle w:val="ListParagraph"/>
        <w:numPr>
          <w:ilvl w:val="0"/>
          <w:numId w:val="1"/>
        </w:numPr>
        <w:jc w:val="both"/>
        <w:rPr>
          <w:rFonts w:ascii="Century Schoolbook" w:hAnsi="Century Schoolbook"/>
          <w:i/>
          <w:sz w:val="24"/>
          <w:szCs w:val="24"/>
        </w:rPr>
      </w:pPr>
      <w:r w:rsidRPr="00A24ED0">
        <w:rPr>
          <w:rFonts w:ascii="Century Schoolbook" w:hAnsi="Century Schoolbook"/>
          <w:i/>
          <w:sz w:val="24"/>
          <w:szCs w:val="24"/>
        </w:rPr>
        <w:t>If one plan is SH (to NHCE only) and the other isn't, under permissive aggregation, could you just run ADP on the whole group?</w:t>
      </w:r>
    </w:p>
    <w:p w:rsidR="00DF2859" w:rsidRDefault="00DF2859" w:rsidP="002C3512">
      <w:pPr>
        <w:jc w:val="both"/>
        <w:rPr>
          <w:rFonts w:ascii="Century Schoolbook" w:hAnsi="Century Schoolbook"/>
          <w:sz w:val="24"/>
          <w:szCs w:val="24"/>
        </w:rPr>
      </w:pPr>
      <w:r>
        <w:rPr>
          <w:rFonts w:ascii="Century Schoolbook" w:hAnsi="Century Schoolbook"/>
          <w:sz w:val="24"/>
          <w:szCs w:val="24"/>
        </w:rPr>
        <w:t xml:space="preserve">No.  You cannot permissively aggregate the plans at all.  See </w:t>
      </w:r>
      <w:hyperlink r:id="rId41" w:history="1">
        <w:r w:rsidR="00CA175B">
          <w:rPr>
            <w:rStyle w:val="Hyperlink"/>
            <w:rFonts w:ascii="Century Schoolbook" w:hAnsi="Century Schoolbook"/>
            <w:color w:val="000000" w:themeColor="text1"/>
            <w:sz w:val="24"/>
            <w:szCs w:val="24"/>
          </w:rPr>
          <w:t>Treas. Reg. §1.401(k)-1(b)(4)(B)(iv)</w:t>
        </w:r>
      </w:hyperlink>
      <w:r w:rsidR="001561F3">
        <w:rPr>
          <w:rFonts w:ascii="Century Schoolbook" w:hAnsi="Century Schoolbook"/>
          <w:sz w:val="24"/>
          <w:szCs w:val="24"/>
        </w:rPr>
        <w:t xml:space="preserve">.  </w:t>
      </w:r>
      <w:hyperlink r:id="rId42" w:history="1">
        <w:r w:rsidR="008E2A68">
          <w:rPr>
            <w:rStyle w:val="Hyperlink"/>
            <w:rFonts w:ascii="Century Schoolbook" w:hAnsi="Century Schoolbook"/>
            <w:color w:val="000000" w:themeColor="text1"/>
            <w:sz w:val="24"/>
            <w:szCs w:val="24"/>
          </w:rPr>
          <w:t>Chapter 22</w:t>
        </w:r>
      </w:hyperlink>
      <w:r w:rsidR="001561F3">
        <w:rPr>
          <w:rFonts w:ascii="Century Schoolbook" w:hAnsi="Century Schoolbook"/>
          <w:sz w:val="24"/>
          <w:szCs w:val="24"/>
        </w:rPr>
        <w:t xml:space="preserve"> of WTE discusses permissive plan aggregation extensively. </w:t>
      </w:r>
      <w:hyperlink r:id="rId43" w:history="1">
        <w:r w:rsidR="008E2A68">
          <w:rPr>
            <w:rStyle w:val="Hyperlink"/>
            <w:rFonts w:ascii="Century Schoolbook" w:hAnsi="Century Schoolbook"/>
            <w:color w:val="000000" w:themeColor="text1"/>
            <w:sz w:val="24"/>
            <w:szCs w:val="24"/>
          </w:rPr>
          <w:t>Q 22:14</w:t>
        </w:r>
      </w:hyperlink>
      <w:r w:rsidR="001561F3">
        <w:rPr>
          <w:rFonts w:ascii="Century Schoolbook" w:hAnsi="Century Schoolbook"/>
          <w:sz w:val="24"/>
          <w:szCs w:val="24"/>
        </w:rPr>
        <w:t xml:space="preserve"> explains:</w:t>
      </w:r>
    </w:p>
    <w:p w:rsidR="001561F3" w:rsidRPr="001561F3" w:rsidRDefault="001561F3" w:rsidP="002C3512">
      <w:pPr>
        <w:jc w:val="both"/>
        <w:rPr>
          <w:rFonts w:ascii="Century Schoolbook" w:hAnsi="Century Schoolbook"/>
          <w:color w:val="FF0000"/>
          <w:sz w:val="24"/>
          <w:szCs w:val="24"/>
        </w:rPr>
      </w:pPr>
      <w:r w:rsidRPr="001561F3">
        <w:rPr>
          <w:rFonts w:ascii="Century Schoolbook" w:hAnsi="Century Schoolbook"/>
          <w:color w:val="FF0000"/>
          <w:sz w:val="24"/>
          <w:szCs w:val="24"/>
        </w:rPr>
        <w:t>The 401(k) regulations contain a definition of “plan.” This definition starts with the coverage definition of plan. [</w:t>
      </w:r>
      <w:hyperlink r:id="rId44" w:history="1">
        <w:r w:rsidRPr="001561F3">
          <w:rPr>
            <w:rStyle w:val="Hyperlink"/>
            <w:rFonts w:ascii="Century Schoolbook" w:hAnsi="Century Schoolbook"/>
            <w:color w:val="FF0000"/>
            <w:sz w:val="24"/>
            <w:szCs w:val="24"/>
          </w:rPr>
          <w:t>Q 2</w:t>
        </w:r>
        <w:r w:rsidRPr="001561F3">
          <w:rPr>
            <w:rStyle w:val="Hyperlink"/>
            <w:rFonts w:ascii="Century Schoolbook" w:hAnsi="Century Schoolbook"/>
            <w:color w:val="FF0000"/>
            <w:sz w:val="24"/>
            <w:szCs w:val="24"/>
          </w:rPr>
          <w:t>2</w:t>
        </w:r>
        <w:r w:rsidRPr="001561F3">
          <w:rPr>
            <w:rStyle w:val="Hyperlink"/>
            <w:rFonts w:ascii="Century Schoolbook" w:hAnsi="Century Schoolbook"/>
            <w:color w:val="FF0000"/>
            <w:sz w:val="24"/>
            <w:szCs w:val="24"/>
          </w:rPr>
          <w:t>:6</w:t>
        </w:r>
      </w:hyperlink>
      <w:r w:rsidRPr="001561F3">
        <w:rPr>
          <w:rFonts w:ascii="Century Schoolbook" w:hAnsi="Century Schoolbook"/>
          <w:color w:val="FF0000"/>
          <w:sz w:val="24"/>
          <w:szCs w:val="24"/>
        </w:rPr>
        <w:t xml:space="preserve">; </w:t>
      </w:r>
      <w:hyperlink r:id="rId45" w:history="1">
        <w:r w:rsidRPr="001561F3">
          <w:rPr>
            <w:rStyle w:val="Hyperlink"/>
            <w:rFonts w:ascii="Century Schoolbook" w:hAnsi="Century Schoolbook"/>
            <w:color w:val="FF0000"/>
            <w:sz w:val="24"/>
            <w:szCs w:val="24"/>
          </w:rPr>
          <w:t>Treas. Reg. §1.401(k)-1(b)(4)(iii)(A)</w:t>
        </w:r>
      </w:hyperlink>
      <w:r w:rsidRPr="001561F3">
        <w:rPr>
          <w:rFonts w:ascii="Century Schoolbook" w:hAnsi="Century Schoolbook"/>
          <w:color w:val="FF0000"/>
          <w:sz w:val="24"/>
          <w:szCs w:val="24"/>
        </w:rPr>
        <w:t>] However, the regulations impose some modifications:</w:t>
      </w:r>
    </w:p>
    <w:p w:rsidR="001561F3" w:rsidRPr="001561F3" w:rsidRDefault="001561F3" w:rsidP="002C3512">
      <w:pPr>
        <w:numPr>
          <w:ilvl w:val="0"/>
          <w:numId w:val="4"/>
        </w:numPr>
        <w:jc w:val="both"/>
        <w:rPr>
          <w:rFonts w:ascii="Century Schoolbook" w:hAnsi="Century Schoolbook"/>
          <w:color w:val="FF0000"/>
          <w:sz w:val="24"/>
          <w:szCs w:val="24"/>
        </w:rPr>
      </w:pPr>
      <w:r w:rsidRPr="001561F3">
        <w:rPr>
          <w:rFonts w:ascii="Century Schoolbook" w:hAnsi="Century Schoolbook"/>
          <w:i/>
          <w:iCs/>
          <w:color w:val="FF0000"/>
          <w:sz w:val="24"/>
          <w:szCs w:val="24"/>
        </w:rPr>
        <w:t>ESOP</w:t>
      </w:r>
      <w:r w:rsidRPr="001561F3">
        <w:rPr>
          <w:rFonts w:ascii="Century Schoolbook" w:hAnsi="Century Schoolbook"/>
          <w:color w:val="FF0000"/>
          <w:sz w:val="24"/>
          <w:szCs w:val="24"/>
        </w:rPr>
        <w:t>. Solely to test the 401 (k) portion of the plan, the employer can choose to permissively aggregate ESOP and non-ESOP plans. [</w:t>
      </w:r>
      <w:hyperlink r:id="rId46" w:history="1">
        <w:r w:rsidRPr="001561F3">
          <w:rPr>
            <w:rStyle w:val="Hyperlink"/>
            <w:rFonts w:ascii="Century Schoolbook" w:hAnsi="Century Schoolbook"/>
            <w:color w:val="FF0000"/>
            <w:sz w:val="24"/>
            <w:szCs w:val="24"/>
          </w:rPr>
          <w:t>Treas. Reg. §1.401(k)-1(b)(4)(iii)(A)</w:t>
        </w:r>
      </w:hyperlink>
      <w:r w:rsidRPr="001561F3">
        <w:rPr>
          <w:rFonts w:ascii="Century Schoolbook" w:hAnsi="Century Schoolbook"/>
          <w:color w:val="FF0000"/>
          <w:sz w:val="24"/>
          <w:szCs w:val="24"/>
        </w:rPr>
        <w:t>]</w:t>
      </w:r>
    </w:p>
    <w:p w:rsidR="001561F3" w:rsidRPr="001561F3" w:rsidRDefault="001561F3" w:rsidP="002C3512">
      <w:pPr>
        <w:numPr>
          <w:ilvl w:val="0"/>
          <w:numId w:val="4"/>
        </w:numPr>
        <w:jc w:val="both"/>
        <w:rPr>
          <w:rFonts w:ascii="Century Schoolbook" w:hAnsi="Century Schoolbook"/>
          <w:color w:val="FF0000"/>
          <w:sz w:val="24"/>
          <w:szCs w:val="24"/>
        </w:rPr>
      </w:pPr>
      <w:r w:rsidRPr="001561F3">
        <w:rPr>
          <w:rFonts w:ascii="Century Schoolbook" w:hAnsi="Century Schoolbook"/>
          <w:i/>
          <w:iCs/>
          <w:color w:val="FF0000"/>
          <w:sz w:val="24"/>
          <w:szCs w:val="24"/>
        </w:rPr>
        <w:t>Union employees</w:t>
      </w:r>
      <w:r w:rsidRPr="001561F3">
        <w:rPr>
          <w:rFonts w:ascii="Century Schoolbook" w:hAnsi="Century Schoolbook"/>
          <w:color w:val="FF0000"/>
          <w:sz w:val="24"/>
          <w:szCs w:val="24"/>
        </w:rPr>
        <w:t>. To test the 401 (k) portions of the plan, the employer can treat employees covered under different collective bargaining agreements as being in a single plan, so long as the aggregation is performed on a reasonable, consistent basis from year-to-year. [</w:t>
      </w:r>
      <w:hyperlink r:id="rId47" w:history="1">
        <w:r w:rsidRPr="001561F3">
          <w:rPr>
            <w:rStyle w:val="Hyperlink"/>
            <w:rFonts w:ascii="Century Schoolbook" w:hAnsi="Century Schoolbook"/>
            <w:color w:val="FF0000"/>
            <w:sz w:val="24"/>
            <w:szCs w:val="24"/>
          </w:rPr>
          <w:t>Treas. Reg. §1.401(k)-1(b)(4)(iii)(B)</w:t>
        </w:r>
      </w:hyperlink>
      <w:r w:rsidRPr="001561F3">
        <w:rPr>
          <w:rFonts w:ascii="Century Schoolbook" w:hAnsi="Century Schoolbook"/>
          <w:color w:val="FF0000"/>
          <w:sz w:val="24"/>
          <w:szCs w:val="24"/>
        </w:rPr>
        <w:t>] There is also a special rule for multiemployer plans. [</w:t>
      </w:r>
      <w:hyperlink r:id="rId48" w:history="1">
        <w:r w:rsidRPr="001561F3">
          <w:rPr>
            <w:rStyle w:val="Hyperlink"/>
            <w:rFonts w:ascii="Century Schoolbook" w:hAnsi="Century Schoolbook"/>
            <w:color w:val="FF0000"/>
            <w:sz w:val="24"/>
            <w:szCs w:val="24"/>
          </w:rPr>
          <w:t>Treas. Reg. §1.401(k)-1(b)(4)(iii)(C)</w:t>
        </w:r>
      </w:hyperlink>
      <w:r w:rsidRPr="001561F3">
        <w:rPr>
          <w:rFonts w:ascii="Century Schoolbook" w:hAnsi="Century Schoolbook"/>
          <w:color w:val="FF0000"/>
          <w:sz w:val="24"/>
          <w:szCs w:val="24"/>
        </w:rPr>
        <w:t>]</w:t>
      </w:r>
    </w:p>
    <w:p w:rsidR="001561F3" w:rsidRPr="001561F3" w:rsidRDefault="001561F3" w:rsidP="002C3512">
      <w:pPr>
        <w:numPr>
          <w:ilvl w:val="0"/>
          <w:numId w:val="4"/>
        </w:numPr>
        <w:jc w:val="both"/>
        <w:rPr>
          <w:rFonts w:ascii="Century Schoolbook" w:hAnsi="Century Schoolbook"/>
          <w:color w:val="FF0000"/>
          <w:sz w:val="24"/>
          <w:szCs w:val="24"/>
        </w:rPr>
      </w:pPr>
      <w:r w:rsidRPr="001561F3">
        <w:rPr>
          <w:rFonts w:ascii="Century Schoolbook" w:hAnsi="Century Schoolbook"/>
          <w:i/>
          <w:iCs/>
          <w:color w:val="FF0000"/>
          <w:sz w:val="24"/>
          <w:szCs w:val="24"/>
        </w:rPr>
        <w:t>CODAs within a plan</w:t>
      </w:r>
      <w:r w:rsidRPr="001561F3">
        <w:rPr>
          <w:rFonts w:ascii="Century Schoolbook" w:hAnsi="Century Schoolbook"/>
          <w:color w:val="FF0000"/>
          <w:sz w:val="24"/>
          <w:szCs w:val="24"/>
        </w:rPr>
        <w:t>. All cash or deferred arrangements (CODA) within a plan are treated as a single plan, subject to a single ADP test, even though there may be different benefit structures. [</w:t>
      </w:r>
      <w:hyperlink r:id="rId49" w:history="1">
        <w:r w:rsidRPr="001561F3">
          <w:rPr>
            <w:rStyle w:val="Hyperlink"/>
            <w:rFonts w:ascii="Century Schoolbook" w:hAnsi="Century Schoolbook"/>
            <w:color w:val="FF0000"/>
            <w:sz w:val="24"/>
            <w:szCs w:val="24"/>
          </w:rPr>
          <w:t>Code §401(k)(3)(A)</w:t>
        </w:r>
      </w:hyperlink>
      <w:r w:rsidRPr="001561F3">
        <w:rPr>
          <w:rFonts w:ascii="Century Schoolbook" w:hAnsi="Century Schoolbook"/>
          <w:color w:val="FF0000"/>
          <w:sz w:val="24"/>
          <w:szCs w:val="24"/>
        </w:rPr>
        <w:t xml:space="preserve">; </w:t>
      </w:r>
      <w:hyperlink r:id="rId50" w:history="1">
        <w:r w:rsidRPr="001561F3">
          <w:rPr>
            <w:rStyle w:val="Hyperlink"/>
            <w:rFonts w:ascii="Century Schoolbook" w:hAnsi="Century Schoolbook"/>
            <w:color w:val="FF0000"/>
            <w:sz w:val="24"/>
            <w:szCs w:val="24"/>
          </w:rPr>
          <w:t>Treas. Reg. §1.401(k)-1(b)(4)(ii)</w:t>
        </w:r>
      </w:hyperlink>
      <w:r w:rsidRPr="001561F3">
        <w:rPr>
          <w:rFonts w:ascii="Century Schoolbook" w:hAnsi="Century Schoolbook"/>
          <w:color w:val="FF0000"/>
          <w:sz w:val="24"/>
          <w:szCs w:val="24"/>
        </w:rPr>
        <w:t>]</w:t>
      </w:r>
    </w:p>
    <w:p w:rsidR="001561F3" w:rsidRPr="001561F3" w:rsidRDefault="001561F3" w:rsidP="002C3512">
      <w:pPr>
        <w:numPr>
          <w:ilvl w:val="0"/>
          <w:numId w:val="4"/>
        </w:numPr>
        <w:jc w:val="both"/>
        <w:rPr>
          <w:rFonts w:ascii="Century Schoolbook" w:hAnsi="Century Schoolbook"/>
          <w:color w:val="FF0000"/>
          <w:sz w:val="24"/>
          <w:szCs w:val="24"/>
        </w:rPr>
      </w:pPr>
      <w:r w:rsidRPr="001561F3">
        <w:rPr>
          <w:rFonts w:ascii="Century Schoolbook" w:hAnsi="Century Schoolbook"/>
          <w:i/>
          <w:iCs/>
          <w:color w:val="FF0000"/>
          <w:sz w:val="24"/>
          <w:szCs w:val="24"/>
        </w:rPr>
        <w:t>Inconsistent testing</w:t>
      </w:r>
      <w:r w:rsidRPr="001561F3">
        <w:rPr>
          <w:rFonts w:ascii="Century Schoolbook" w:hAnsi="Century Schoolbook"/>
          <w:color w:val="FF0000"/>
          <w:sz w:val="24"/>
          <w:szCs w:val="24"/>
        </w:rPr>
        <w:t>. Because all CODAs in a plan are subject to a single ADP test, an employer cannot permissively aggregate two plans which use inconsistent testing methods. [</w:t>
      </w:r>
      <w:hyperlink r:id="rId51" w:history="1">
        <w:r w:rsidRPr="001561F3">
          <w:rPr>
            <w:rStyle w:val="Hyperlink"/>
            <w:rFonts w:ascii="Century Schoolbook" w:hAnsi="Century Schoolbook"/>
            <w:color w:val="FF0000"/>
            <w:sz w:val="24"/>
            <w:szCs w:val="24"/>
          </w:rPr>
          <w:t>Treas. Reg. §1.401(k)-1(b)(4)(iii)(B)</w:t>
        </w:r>
      </w:hyperlink>
      <w:r w:rsidRPr="001561F3">
        <w:rPr>
          <w:rFonts w:ascii="Century Schoolbook" w:hAnsi="Century Schoolbook"/>
          <w:color w:val="FF0000"/>
          <w:sz w:val="24"/>
          <w:szCs w:val="24"/>
        </w:rPr>
        <w:t>] An employer cannot aggregate:</w:t>
      </w:r>
    </w:p>
    <w:p w:rsidR="001561F3" w:rsidRPr="001561F3" w:rsidRDefault="001561F3" w:rsidP="002C3512">
      <w:pPr>
        <w:numPr>
          <w:ilvl w:val="1"/>
          <w:numId w:val="4"/>
        </w:numPr>
        <w:jc w:val="both"/>
        <w:rPr>
          <w:rFonts w:ascii="Century Schoolbook" w:hAnsi="Century Schoolbook"/>
          <w:color w:val="FF0000"/>
          <w:sz w:val="24"/>
          <w:szCs w:val="24"/>
        </w:rPr>
      </w:pPr>
      <w:r w:rsidRPr="001561F3">
        <w:rPr>
          <w:rFonts w:ascii="Century Schoolbook" w:hAnsi="Century Schoolbook"/>
          <w:color w:val="FF0000"/>
          <w:sz w:val="24"/>
          <w:szCs w:val="24"/>
        </w:rPr>
        <w:t>An ADP-tested plan which uses current year testing with an ADP-tested plan which uses prior year testing; or</w:t>
      </w:r>
    </w:p>
    <w:p w:rsidR="001561F3" w:rsidRPr="001561F3" w:rsidRDefault="001561F3" w:rsidP="002C3512">
      <w:pPr>
        <w:numPr>
          <w:ilvl w:val="1"/>
          <w:numId w:val="4"/>
        </w:numPr>
        <w:jc w:val="both"/>
        <w:rPr>
          <w:rFonts w:ascii="Century Schoolbook" w:hAnsi="Century Schoolbook"/>
          <w:color w:val="FF0000"/>
          <w:sz w:val="24"/>
          <w:szCs w:val="24"/>
        </w:rPr>
      </w:pPr>
      <w:r w:rsidRPr="001561F3">
        <w:rPr>
          <w:rFonts w:ascii="Century Schoolbook" w:hAnsi="Century Schoolbook"/>
          <w:color w:val="FF0000"/>
          <w:sz w:val="24"/>
          <w:szCs w:val="24"/>
        </w:rPr>
        <w:t>An ADP-tested plan with a safe harbor plan.</w:t>
      </w:r>
    </w:p>
    <w:p w:rsidR="001561F3" w:rsidRPr="001561F3" w:rsidRDefault="001561F3" w:rsidP="002C3512">
      <w:pPr>
        <w:jc w:val="both"/>
        <w:rPr>
          <w:rFonts w:ascii="Century Schoolbook" w:hAnsi="Century Schoolbook"/>
          <w:color w:val="FF0000"/>
          <w:sz w:val="24"/>
          <w:szCs w:val="24"/>
        </w:rPr>
      </w:pPr>
      <w:r w:rsidRPr="001561F3">
        <w:rPr>
          <w:rFonts w:ascii="Century Schoolbook" w:hAnsi="Century Schoolbook"/>
          <w:color w:val="FF0000"/>
          <w:sz w:val="24"/>
          <w:szCs w:val="24"/>
        </w:rPr>
        <w:t>The 401(m) regulations dealing with matching contributions and employee after-tax contributions use essentially the same plan definition as the 401(k) regulations. [</w:t>
      </w:r>
      <w:hyperlink r:id="rId52" w:history="1">
        <w:r w:rsidRPr="001561F3">
          <w:rPr>
            <w:rStyle w:val="Hyperlink"/>
            <w:rFonts w:ascii="Century Schoolbook" w:hAnsi="Century Schoolbook"/>
            <w:color w:val="FF0000"/>
            <w:sz w:val="24"/>
            <w:szCs w:val="24"/>
          </w:rPr>
          <w:t>Treas. Reg. §1.401(m)-1(b)(4)</w:t>
        </w:r>
      </w:hyperlink>
      <w:r w:rsidRPr="001561F3">
        <w:rPr>
          <w:rFonts w:ascii="Century Schoolbook" w:hAnsi="Century Schoolbook"/>
          <w:color w:val="FF0000"/>
          <w:sz w:val="24"/>
          <w:szCs w:val="24"/>
        </w:rPr>
        <w:t>]</w:t>
      </w:r>
    </w:p>
    <w:p w:rsidR="001561F3" w:rsidRPr="00DF2859" w:rsidRDefault="001561F3" w:rsidP="002C3512">
      <w:pPr>
        <w:jc w:val="both"/>
        <w:rPr>
          <w:rFonts w:ascii="Century Schoolbook" w:hAnsi="Century Schoolbook"/>
          <w:sz w:val="24"/>
          <w:szCs w:val="24"/>
        </w:rPr>
      </w:pPr>
    </w:p>
    <w:p w:rsidR="002E664A" w:rsidRPr="00EC19FD" w:rsidRDefault="002E664A" w:rsidP="002C3512">
      <w:pPr>
        <w:jc w:val="both"/>
        <w:rPr>
          <w:rFonts w:ascii="Century Schoolbook" w:hAnsi="Century Schoolbook"/>
          <w:sz w:val="24"/>
          <w:szCs w:val="24"/>
        </w:rPr>
      </w:pPr>
    </w:p>
    <w:p w:rsidR="002E664A" w:rsidRPr="006C2346" w:rsidRDefault="002E664A" w:rsidP="002C3512">
      <w:pPr>
        <w:pStyle w:val="ListParagraph"/>
        <w:numPr>
          <w:ilvl w:val="0"/>
          <w:numId w:val="1"/>
        </w:numPr>
        <w:jc w:val="both"/>
        <w:rPr>
          <w:rFonts w:ascii="Century Schoolbook" w:hAnsi="Century Schoolbook"/>
          <w:i/>
          <w:sz w:val="24"/>
          <w:szCs w:val="24"/>
        </w:rPr>
      </w:pPr>
      <w:r w:rsidRPr="006C2346">
        <w:rPr>
          <w:rFonts w:ascii="Century Schoolbook" w:hAnsi="Century Schoolbook"/>
          <w:i/>
          <w:sz w:val="24"/>
          <w:szCs w:val="24"/>
        </w:rPr>
        <w:lastRenderedPageBreak/>
        <w:t>Control Group, 2 companies, 2 plans.  Some employees work for both companies. How do they count for coverage if you wan</w:t>
      </w:r>
      <w:r w:rsidR="00A133CA" w:rsidRPr="006C2346">
        <w:rPr>
          <w:rFonts w:ascii="Century Schoolbook" w:hAnsi="Century Schoolbook"/>
          <w:i/>
          <w:sz w:val="24"/>
          <w:szCs w:val="24"/>
        </w:rPr>
        <w:t>t to separately test both plans?</w:t>
      </w:r>
    </w:p>
    <w:p w:rsidR="001561F3" w:rsidRDefault="001561F3" w:rsidP="002C3512">
      <w:pPr>
        <w:jc w:val="both"/>
        <w:rPr>
          <w:rFonts w:ascii="Century Schoolbook" w:hAnsi="Century Schoolbook"/>
          <w:sz w:val="24"/>
          <w:szCs w:val="24"/>
        </w:rPr>
      </w:pPr>
      <w:r>
        <w:rPr>
          <w:rFonts w:ascii="Century Schoolbook" w:hAnsi="Century Schoolbook"/>
          <w:sz w:val="24"/>
          <w:szCs w:val="24"/>
        </w:rPr>
        <w:t xml:space="preserve">Perhaps I can explain this most easily with an example.  Employers A and B are related.  Each </w:t>
      </w:r>
      <w:r w:rsidR="00003A06">
        <w:rPr>
          <w:rFonts w:ascii="Century Schoolbook" w:hAnsi="Century Schoolbook"/>
          <w:sz w:val="24"/>
          <w:szCs w:val="24"/>
        </w:rPr>
        <w:t xml:space="preserve">employer </w:t>
      </w:r>
      <w:r>
        <w:rPr>
          <w:rFonts w:ascii="Century Schoolbook" w:hAnsi="Century Schoolbook"/>
          <w:sz w:val="24"/>
          <w:szCs w:val="24"/>
        </w:rPr>
        <w:t>sponsors a plan covering only its employees.  Consider the following three NHCEs:</w:t>
      </w:r>
    </w:p>
    <w:p w:rsidR="001561F3" w:rsidRDefault="001561F3" w:rsidP="002C3512">
      <w:pPr>
        <w:pStyle w:val="ListParagraph"/>
        <w:numPr>
          <w:ilvl w:val="0"/>
          <w:numId w:val="5"/>
        </w:numPr>
        <w:jc w:val="both"/>
        <w:rPr>
          <w:rFonts w:ascii="Century Schoolbook" w:hAnsi="Century Schoolbook"/>
          <w:sz w:val="24"/>
          <w:szCs w:val="24"/>
        </w:rPr>
      </w:pPr>
      <w:r>
        <w:rPr>
          <w:rFonts w:ascii="Century Schoolbook" w:hAnsi="Century Schoolbook"/>
          <w:sz w:val="24"/>
          <w:szCs w:val="24"/>
        </w:rPr>
        <w:t>Adam works exclusively for A.  Adam benefits from the A plan.  He does not benefit from the B plan</w:t>
      </w:r>
      <w:r w:rsidR="00003A06">
        <w:rPr>
          <w:rFonts w:ascii="Century Schoolbook" w:hAnsi="Century Schoolbook"/>
          <w:sz w:val="24"/>
          <w:szCs w:val="24"/>
        </w:rPr>
        <w:t>.</w:t>
      </w:r>
    </w:p>
    <w:p w:rsidR="001561F3" w:rsidRDefault="001561F3" w:rsidP="002C3512">
      <w:pPr>
        <w:pStyle w:val="ListParagraph"/>
        <w:numPr>
          <w:ilvl w:val="0"/>
          <w:numId w:val="5"/>
        </w:numPr>
        <w:jc w:val="both"/>
        <w:rPr>
          <w:rFonts w:ascii="Century Schoolbook" w:hAnsi="Century Schoolbook"/>
          <w:sz w:val="24"/>
          <w:szCs w:val="24"/>
        </w:rPr>
      </w:pPr>
      <w:r>
        <w:rPr>
          <w:rFonts w:ascii="Century Schoolbook" w:hAnsi="Century Schoolbook"/>
          <w:sz w:val="24"/>
          <w:szCs w:val="24"/>
        </w:rPr>
        <w:t>Betty works exclusively for B. Betty does not benefit from the A plan. She does benefit from the B plan.</w:t>
      </w:r>
    </w:p>
    <w:p w:rsidR="001561F3" w:rsidRDefault="001561F3" w:rsidP="002C3512">
      <w:pPr>
        <w:pStyle w:val="ListParagraph"/>
        <w:numPr>
          <w:ilvl w:val="0"/>
          <w:numId w:val="5"/>
        </w:numPr>
        <w:jc w:val="both"/>
        <w:rPr>
          <w:rFonts w:ascii="Century Schoolbook" w:hAnsi="Century Schoolbook"/>
          <w:sz w:val="24"/>
          <w:szCs w:val="24"/>
        </w:rPr>
      </w:pPr>
      <w:r>
        <w:rPr>
          <w:rFonts w:ascii="Century Schoolbook" w:hAnsi="Century Schoolbook"/>
          <w:sz w:val="24"/>
          <w:szCs w:val="24"/>
        </w:rPr>
        <w:t>Barney works for both A and B.  Barney benefits from both the A plan and the B plan.</w:t>
      </w:r>
    </w:p>
    <w:p w:rsidR="001561F3" w:rsidRPr="001561F3" w:rsidRDefault="001561F3" w:rsidP="002C3512">
      <w:pPr>
        <w:jc w:val="both"/>
        <w:rPr>
          <w:rFonts w:ascii="Century Schoolbook" w:hAnsi="Century Schoolbook"/>
          <w:sz w:val="24"/>
          <w:szCs w:val="24"/>
        </w:rPr>
      </w:pPr>
      <w:r>
        <w:rPr>
          <w:rFonts w:ascii="Century Schoolbook" w:hAnsi="Century Schoolbook"/>
          <w:sz w:val="24"/>
          <w:szCs w:val="24"/>
        </w:rPr>
        <w:t>In counting coverage, the A plan covers 2 of the 3 NHCEs shown.  The B plan covers 2 of the 3 NHCEs shown.  All three employees count the in denominator of the testing fractions.  Barney counts in the numerator of both because Barney participates in both.</w:t>
      </w:r>
    </w:p>
    <w:p w:rsidR="002E664A" w:rsidRPr="00EC19FD" w:rsidRDefault="002E664A" w:rsidP="002C3512">
      <w:pPr>
        <w:jc w:val="both"/>
        <w:rPr>
          <w:rFonts w:ascii="Century Schoolbook" w:hAnsi="Century Schoolbook"/>
          <w:sz w:val="24"/>
          <w:szCs w:val="24"/>
        </w:rPr>
      </w:pPr>
    </w:p>
    <w:p w:rsidR="002E664A" w:rsidRPr="00003A06" w:rsidRDefault="00A133CA" w:rsidP="002C3512">
      <w:pPr>
        <w:pStyle w:val="ListParagraph"/>
        <w:numPr>
          <w:ilvl w:val="0"/>
          <w:numId w:val="1"/>
        </w:numPr>
        <w:jc w:val="both"/>
        <w:rPr>
          <w:rFonts w:ascii="Century Schoolbook" w:hAnsi="Century Schoolbook"/>
          <w:i/>
          <w:sz w:val="24"/>
          <w:szCs w:val="24"/>
        </w:rPr>
      </w:pPr>
      <w:r w:rsidRPr="00003A06">
        <w:rPr>
          <w:rFonts w:ascii="Century Schoolbook" w:hAnsi="Century Schoolbook"/>
          <w:i/>
          <w:sz w:val="24"/>
          <w:szCs w:val="24"/>
        </w:rPr>
        <w:t>B</w:t>
      </w:r>
      <w:r w:rsidR="002E664A" w:rsidRPr="00003A06">
        <w:rPr>
          <w:rFonts w:ascii="Century Schoolbook" w:hAnsi="Century Schoolbook"/>
          <w:i/>
          <w:sz w:val="24"/>
          <w:szCs w:val="24"/>
        </w:rPr>
        <w:t xml:space="preserve">ad news also, if the solo is actually a standardized plan document.  </w:t>
      </w:r>
      <w:r w:rsidRPr="00003A06">
        <w:rPr>
          <w:rFonts w:ascii="Century Schoolbook" w:hAnsi="Century Schoolbook"/>
          <w:i/>
          <w:sz w:val="24"/>
          <w:szCs w:val="24"/>
        </w:rPr>
        <w:t>W</w:t>
      </w:r>
      <w:r w:rsidR="002E664A" w:rsidRPr="00003A06">
        <w:rPr>
          <w:rFonts w:ascii="Century Schoolbook" w:hAnsi="Century Schoolbook"/>
          <w:i/>
          <w:sz w:val="24"/>
          <w:szCs w:val="24"/>
        </w:rPr>
        <w:t>ouldn't the other company have to pa</w:t>
      </w:r>
      <w:r w:rsidR="005662F5" w:rsidRPr="00003A06">
        <w:rPr>
          <w:rFonts w:ascii="Century Schoolbook" w:hAnsi="Century Schoolbook"/>
          <w:i/>
          <w:sz w:val="24"/>
          <w:szCs w:val="24"/>
        </w:rPr>
        <w:t>rticipate?</w:t>
      </w:r>
    </w:p>
    <w:p w:rsidR="001561F3" w:rsidRDefault="000701E0" w:rsidP="002C3512">
      <w:pPr>
        <w:jc w:val="both"/>
        <w:rPr>
          <w:rFonts w:ascii="Century Schoolbook" w:hAnsi="Century Schoolbook"/>
          <w:sz w:val="24"/>
          <w:szCs w:val="24"/>
        </w:rPr>
      </w:pPr>
      <w:r>
        <w:rPr>
          <w:rFonts w:ascii="Century Schoolbook" w:hAnsi="Century Schoolbook"/>
          <w:sz w:val="24"/>
          <w:szCs w:val="24"/>
        </w:rPr>
        <w:t xml:space="preserve">No, depending on the plan terms. </w:t>
      </w:r>
      <w:r w:rsidR="001561F3">
        <w:rPr>
          <w:rFonts w:ascii="Century Schoolbook" w:hAnsi="Century Schoolbook"/>
          <w:sz w:val="24"/>
          <w:szCs w:val="24"/>
        </w:rPr>
        <w:t xml:space="preserve">This question is drawn from an example in which Solo sponsors a plan for its employees, and is subsequently purchased by BossCo.  Most standardized plans include a clause delaying coverage during the coverage transition period.  For example, here is the language from a widely used standardized </w:t>
      </w:r>
      <w:r>
        <w:rPr>
          <w:rFonts w:ascii="Century Schoolbook" w:hAnsi="Century Schoolbook"/>
          <w:sz w:val="24"/>
          <w:szCs w:val="24"/>
        </w:rPr>
        <w:t>prototype. Notice particularly the second sentence.</w:t>
      </w:r>
    </w:p>
    <w:p w:rsidR="001561F3" w:rsidRPr="000701E0" w:rsidRDefault="001561F3" w:rsidP="002C3512">
      <w:pPr>
        <w:jc w:val="both"/>
        <w:rPr>
          <w:rFonts w:ascii="Century Schoolbook" w:hAnsi="Century Schoolbook"/>
          <w:color w:val="FF0000"/>
          <w:sz w:val="24"/>
          <w:szCs w:val="24"/>
        </w:rPr>
      </w:pPr>
      <w:r w:rsidRPr="000701E0">
        <w:rPr>
          <w:rFonts w:ascii="Century Schoolbook" w:hAnsi="Century Schoolbook"/>
          <w:color w:val="FF0000"/>
          <w:sz w:val="24"/>
          <w:szCs w:val="24"/>
        </w:rPr>
        <w:t>If the Employer's Plan is a Standardized Plan, all Employees of the Employer or of any Related Employer, are Eligible Employees, irrespective of whether the Related Employer directly employing the Employee is a Participating Employer. Notwithstanding the immediately preceding sentence, individuals who become Employees of a Related Employer as a result of a transaction described in</w:t>
      </w:r>
      <w:r w:rsidRPr="00E25BD9">
        <w:rPr>
          <w:rFonts w:ascii="Century Schoolbook" w:hAnsi="Century Schoolbook"/>
          <w:color w:val="FF0000"/>
          <w:sz w:val="24"/>
          <w:szCs w:val="24"/>
        </w:rPr>
        <w:t xml:space="preserve"> </w:t>
      </w:r>
      <w:hyperlink r:id="rId53" w:history="1">
        <w:r w:rsidR="00E25BD9">
          <w:rPr>
            <w:rStyle w:val="Hyperlink"/>
            <w:rFonts w:ascii="Century Schoolbook" w:hAnsi="Century Schoolbook"/>
            <w:color w:val="FF0000"/>
            <w:sz w:val="24"/>
            <w:szCs w:val="24"/>
          </w:rPr>
          <w:t>Code §410(b)(6)(C)</w:t>
        </w:r>
      </w:hyperlink>
      <w:r w:rsidRPr="00E25BD9">
        <w:rPr>
          <w:rFonts w:ascii="Century Schoolbook" w:hAnsi="Century Schoolbook"/>
          <w:color w:val="FF0000"/>
          <w:sz w:val="24"/>
          <w:szCs w:val="24"/>
        </w:rPr>
        <w:t xml:space="preserve"> are Excluded Employees during the Plan Year in </w:t>
      </w:r>
      <w:r w:rsidRPr="000701E0">
        <w:rPr>
          <w:rFonts w:ascii="Century Schoolbook" w:hAnsi="Century Schoolbook"/>
          <w:color w:val="FF0000"/>
          <w:sz w:val="24"/>
          <w:szCs w:val="24"/>
        </w:rPr>
        <w:t>which such transaction occurs and in the following Plan Year, unless the Related Employer which employs such Employees becomes during such period a Participating Employer by executing a Participation Agreement to the Adoption Agreement; or the Plan benefits or coverage change significantly during the transition period resulting in the termination of the transition period.</w:t>
      </w:r>
    </w:p>
    <w:p w:rsidR="00E24AC6" w:rsidRDefault="00E24AC6" w:rsidP="002C3512">
      <w:pPr>
        <w:pStyle w:val="ListParagraph"/>
        <w:jc w:val="both"/>
        <w:rPr>
          <w:rFonts w:ascii="Century Schoolbook" w:hAnsi="Century Schoolbook"/>
          <w:sz w:val="24"/>
          <w:szCs w:val="24"/>
        </w:rPr>
      </w:pPr>
    </w:p>
    <w:p w:rsidR="002E664A" w:rsidRPr="00003A06" w:rsidRDefault="002E664A" w:rsidP="002C3512">
      <w:pPr>
        <w:pStyle w:val="ListParagraph"/>
        <w:numPr>
          <w:ilvl w:val="0"/>
          <w:numId w:val="1"/>
        </w:numPr>
        <w:jc w:val="both"/>
        <w:rPr>
          <w:rFonts w:ascii="Century Schoolbook" w:hAnsi="Century Schoolbook"/>
          <w:i/>
          <w:sz w:val="24"/>
          <w:szCs w:val="24"/>
        </w:rPr>
      </w:pPr>
      <w:bookmarkStart w:id="2" w:name="_Hlk498684630"/>
      <w:r w:rsidRPr="00003A06">
        <w:rPr>
          <w:rFonts w:ascii="Century Schoolbook" w:hAnsi="Century Schoolbook"/>
          <w:i/>
          <w:sz w:val="24"/>
          <w:szCs w:val="24"/>
        </w:rPr>
        <w:t>What if Company A has auto-enroll and B doesn't?  Is that a problem in permissive aggregation?</w:t>
      </w:r>
    </w:p>
    <w:p w:rsidR="00B04E27" w:rsidRPr="00B04E27" w:rsidRDefault="00B04E27" w:rsidP="002C3512">
      <w:pPr>
        <w:jc w:val="both"/>
        <w:rPr>
          <w:rFonts w:ascii="Century Schoolbook" w:hAnsi="Century Schoolbook"/>
          <w:sz w:val="24"/>
          <w:szCs w:val="24"/>
        </w:rPr>
      </w:pPr>
      <w:r>
        <w:rPr>
          <w:rFonts w:ascii="Century Schoolbook" w:hAnsi="Century Schoolbook"/>
          <w:sz w:val="24"/>
          <w:szCs w:val="24"/>
        </w:rPr>
        <w:lastRenderedPageBreak/>
        <w:t>It certainly would be if you we</w:t>
      </w:r>
      <w:r w:rsidR="00E24AC6">
        <w:rPr>
          <w:rFonts w:ascii="Century Schoolbook" w:hAnsi="Century Schoolbook"/>
          <w:sz w:val="24"/>
          <w:szCs w:val="24"/>
        </w:rPr>
        <w:t>re dealing with a QACA; it would be fatal.  But otherwise I don’t believe it’s a problem.  I don’t see anything to suggest that the IRS views automatic enrollment as a benefits</w:t>
      </w:r>
      <w:r w:rsidR="00E43664">
        <w:rPr>
          <w:rFonts w:ascii="Century Schoolbook" w:hAnsi="Century Schoolbook"/>
          <w:sz w:val="24"/>
          <w:szCs w:val="24"/>
        </w:rPr>
        <w:t>,</w:t>
      </w:r>
      <w:r w:rsidR="00E24AC6">
        <w:rPr>
          <w:rFonts w:ascii="Century Schoolbook" w:hAnsi="Century Schoolbook"/>
          <w:sz w:val="24"/>
          <w:szCs w:val="24"/>
        </w:rPr>
        <w:t xml:space="preserve"> rights</w:t>
      </w:r>
      <w:r w:rsidR="00E43664">
        <w:rPr>
          <w:rFonts w:ascii="Century Schoolbook" w:hAnsi="Century Schoolbook"/>
          <w:sz w:val="24"/>
          <w:szCs w:val="24"/>
        </w:rPr>
        <w:t>,</w:t>
      </w:r>
      <w:r w:rsidR="00E24AC6">
        <w:rPr>
          <w:rFonts w:ascii="Century Schoolbook" w:hAnsi="Century Schoolbook"/>
          <w:sz w:val="24"/>
          <w:szCs w:val="24"/>
        </w:rPr>
        <w:t xml:space="preserve"> and features issue. Recall that the Treasury, as it said when it put forth the 401(k) regulations, views automatic enrollment as a change in default.  Both traditional plans and automatic plans give a participant a choice to defer or not.  The only real difference is in the default option if the participant does not reply.  But the participant has the same</w:t>
      </w:r>
      <w:r w:rsidR="00003A06">
        <w:rPr>
          <w:rFonts w:ascii="Century Schoolbook" w:hAnsi="Century Schoolbook"/>
          <w:sz w:val="24"/>
          <w:szCs w:val="24"/>
        </w:rPr>
        <w:t xml:space="preserve"> options ultimately, regardless.</w:t>
      </w:r>
      <w:r w:rsidR="00E24AC6">
        <w:rPr>
          <w:rFonts w:ascii="Century Schoolbook" w:hAnsi="Century Schoolbook"/>
          <w:sz w:val="24"/>
          <w:szCs w:val="24"/>
        </w:rPr>
        <w:t xml:space="preserve"> The Treasury</w:t>
      </w:r>
      <w:r w:rsidR="00003A06">
        <w:rPr>
          <w:rFonts w:ascii="Century Schoolbook" w:hAnsi="Century Schoolbook"/>
          <w:sz w:val="24"/>
          <w:szCs w:val="24"/>
        </w:rPr>
        <w:t>’s concern is</w:t>
      </w:r>
      <w:r w:rsidR="00E24AC6">
        <w:rPr>
          <w:rFonts w:ascii="Century Schoolbook" w:hAnsi="Century Schoolbook"/>
          <w:sz w:val="24"/>
          <w:szCs w:val="24"/>
        </w:rPr>
        <w:t xml:space="preserve"> that the participants have an effective opportunity to make a choice.</w:t>
      </w:r>
    </w:p>
    <w:p w:rsidR="00E24AC6" w:rsidRDefault="00E24AC6" w:rsidP="002C3512">
      <w:pPr>
        <w:jc w:val="both"/>
        <w:rPr>
          <w:rFonts w:ascii="Century Schoolbook" w:hAnsi="Century Schoolbook"/>
          <w:sz w:val="24"/>
          <w:szCs w:val="24"/>
        </w:rPr>
      </w:pPr>
      <w:r>
        <w:rPr>
          <w:rFonts w:ascii="Century Schoolbook" w:hAnsi="Century Schoolbook"/>
          <w:sz w:val="24"/>
          <w:szCs w:val="24"/>
        </w:rPr>
        <w:t>Let me add that if a EACA were to be aggregated with a non-EACA (or a EACA with different defaults), the plan would lose the benefit of the 6-month window to make ADP/ACP corrections.  But even in this situation, I see nothing to prevent plan aggregation.</w:t>
      </w:r>
      <w:r w:rsidR="00AB3F4A">
        <w:rPr>
          <w:rFonts w:ascii="Century Schoolbook" w:hAnsi="Century Schoolbook"/>
          <w:sz w:val="24"/>
          <w:szCs w:val="24"/>
        </w:rPr>
        <w:t xml:space="preserve"> I</w:t>
      </w:r>
      <w:r w:rsidR="00003A06">
        <w:rPr>
          <w:rFonts w:ascii="Century Schoolbook" w:hAnsi="Century Schoolbook"/>
          <w:sz w:val="24"/>
          <w:szCs w:val="24"/>
        </w:rPr>
        <w:t>n fact, the regulations expressly allow</w:t>
      </w:r>
      <w:r w:rsidR="00AB3F4A">
        <w:rPr>
          <w:rFonts w:ascii="Century Schoolbook" w:hAnsi="Century Schoolbook"/>
          <w:sz w:val="24"/>
          <w:szCs w:val="24"/>
        </w:rPr>
        <w:t xml:space="preserve"> a 401(k) plan to have some participants in a EACA and others not subject to automatic enrollment.</w:t>
      </w:r>
    </w:p>
    <w:p w:rsidR="0033383F" w:rsidRPr="00EC19FD" w:rsidRDefault="0033383F" w:rsidP="002C3512">
      <w:pPr>
        <w:jc w:val="both"/>
        <w:rPr>
          <w:rFonts w:ascii="Century Schoolbook" w:hAnsi="Century Schoolbook"/>
          <w:sz w:val="24"/>
          <w:szCs w:val="24"/>
        </w:rPr>
      </w:pPr>
    </w:p>
    <w:bookmarkEnd w:id="2"/>
    <w:p w:rsidR="002E664A" w:rsidRPr="00003A06" w:rsidRDefault="002E664A" w:rsidP="002C3512">
      <w:pPr>
        <w:pStyle w:val="ListParagraph"/>
        <w:numPr>
          <w:ilvl w:val="0"/>
          <w:numId w:val="1"/>
        </w:numPr>
        <w:jc w:val="both"/>
        <w:rPr>
          <w:rFonts w:ascii="Century Schoolbook" w:hAnsi="Century Schoolbook"/>
          <w:i/>
          <w:sz w:val="24"/>
          <w:szCs w:val="24"/>
        </w:rPr>
      </w:pPr>
      <w:r w:rsidRPr="00003A06">
        <w:rPr>
          <w:rFonts w:ascii="Century Schoolbook" w:hAnsi="Century Schoolbook"/>
          <w:i/>
          <w:sz w:val="24"/>
          <w:szCs w:val="24"/>
        </w:rPr>
        <w:t xml:space="preserve">Last example.  You </w:t>
      </w:r>
      <w:r w:rsidR="00CD546B" w:rsidRPr="00003A06">
        <w:rPr>
          <w:rFonts w:ascii="Century Schoolbook" w:hAnsi="Century Schoolbook"/>
          <w:i/>
          <w:sz w:val="24"/>
          <w:szCs w:val="24"/>
        </w:rPr>
        <w:t>s</w:t>
      </w:r>
      <w:r w:rsidRPr="00003A06">
        <w:rPr>
          <w:rFonts w:ascii="Century Schoolbook" w:hAnsi="Century Schoolbook"/>
          <w:i/>
          <w:sz w:val="24"/>
          <w:szCs w:val="24"/>
        </w:rPr>
        <w:t>aid you can transfer account from Co. A to Co. B.  Same answer if the partic</w:t>
      </w:r>
      <w:r w:rsidR="00CD546B" w:rsidRPr="00003A06">
        <w:rPr>
          <w:rFonts w:ascii="Century Schoolbook" w:hAnsi="Century Schoolbook"/>
          <w:i/>
          <w:sz w:val="24"/>
          <w:szCs w:val="24"/>
        </w:rPr>
        <w:t>i</w:t>
      </w:r>
      <w:r w:rsidRPr="00003A06">
        <w:rPr>
          <w:rFonts w:ascii="Century Schoolbook" w:hAnsi="Century Schoolbook"/>
          <w:i/>
          <w:sz w:val="24"/>
          <w:szCs w:val="24"/>
        </w:rPr>
        <w:t>pant is NOT fully vested?  If the participant terminates from Co. B, the non</w:t>
      </w:r>
      <w:r w:rsidR="00CD546B" w:rsidRPr="00003A06">
        <w:rPr>
          <w:rFonts w:ascii="Century Schoolbook" w:hAnsi="Century Schoolbook"/>
          <w:i/>
          <w:sz w:val="24"/>
          <w:szCs w:val="24"/>
        </w:rPr>
        <w:t>-</w:t>
      </w:r>
      <w:r w:rsidRPr="00003A06">
        <w:rPr>
          <w:rFonts w:ascii="Century Schoolbook" w:hAnsi="Century Schoolbook"/>
          <w:i/>
          <w:sz w:val="24"/>
          <w:szCs w:val="24"/>
        </w:rPr>
        <w:t>vested portion would go to Co. B?</w:t>
      </w:r>
    </w:p>
    <w:p w:rsidR="00E43664" w:rsidRDefault="00E43664" w:rsidP="002C3512">
      <w:pPr>
        <w:jc w:val="both"/>
        <w:rPr>
          <w:rFonts w:ascii="Century Schoolbook" w:hAnsi="Century Schoolbook"/>
          <w:sz w:val="24"/>
          <w:szCs w:val="24"/>
        </w:rPr>
      </w:pPr>
      <w:r>
        <w:rPr>
          <w:rFonts w:ascii="Century Schoolbook" w:hAnsi="Century Schoolbook"/>
          <w:sz w:val="24"/>
          <w:szCs w:val="24"/>
        </w:rPr>
        <w:t>I have severe concerns about transferring a nonvested or partially nonvested balance in the absence of a plan merger, for the reason you suggest.</w:t>
      </w:r>
    </w:p>
    <w:p w:rsidR="00E43664" w:rsidRPr="00EC19FD" w:rsidRDefault="00E43664" w:rsidP="002C3512">
      <w:pPr>
        <w:jc w:val="both"/>
        <w:rPr>
          <w:rFonts w:ascii="Century Schoolbook" w:hAnsi="Century Schoolbook"/>
          <w:sz w:val="24"/>
          <w:szCs w:val="24"/>
        </w:rPr>
      </w:pPr>
    </w:p>
    <w:p w:rsidR="002E664A" w:rsidRPr="00003A06" w:rsidRDefault="002E664A" w:rsidP="002C3512">
      <w:pPr>
        <w:pStyle w:val="ListParagraph"/>
        <w:numPr>
          <w:ilvl w:val="0"/>
          <w:numId w:val="1"/>
        </w:numPr>
        <w:jc w:val="both"/>
        <w:rPr>
          <w:rFonts w:ascii="Century Schoolbook" w:hAnsi="Century Schoolbook"/>
          <w:i/>
          <w:sz w:val="24"/>
          <w:szCs w:val="24"/>
        </w:rPr>
      </w:pPr>
      <w:r w:rsidRPr="00003A06">
        <w:rPr>
          <w:rFonts w:ascii="Century Schoolbook" w:hAnsi="Century Schoolbook"/>
          <w:i/>
          <w:sz w:val="24"/>
          <w:szCs w:val="24"/>
          <w:shd w:val="clear" w:color="auto" w:fill="FFFFFF"/>
        </w:rPr>
        <w:t>Wouldn’t different vesting schedules be a BRF issue?! Everything I have says they are.</w:t>
      </w:r>
    </w:p>
    <w:p w:rsidR="00E43664" w:rsidRPr="00E43664" w:rsidRDefault="00E43664" w:rsidP="002C3512">
      <w:pPr>
        <w:jc w:val="both"/>
        <w:rPr>
          <w:rFonts w:ascii="Century Schoolbook" w:hAnsi="Century Schoolbook"/>
          <w:sz w:val="24"/>
          <w:szCs w:val="24"/>
        </w:rPr>
      </w:pPr>
      <w:r>
        <w:rPr>
          <w:rFonts w:ascii="Century Schoolbook" w:hAnsi="Century Schoolbook"/>
          <w:sz w:val="24"/>
          <w:szCs w:val="24"/>
        </w:rPr>
        <w:t>Let me be technical here.  They are not a benefits, rights, and features (BRF) issue because t</w:t>
      </w:r>
      <w:r w:rsidR="00B665E2">
        <w:rPr>
          <w:rFonts w:ascii="Century Schoolbook" w:hAnsi="Century Schoolbook"/>
          <w:sz w:val="24"/>
          <w:szCs w:val="24"/>
        </w:rPr>
        <w:t xml:space="preserve">he regulations say that </w:t>
      </w:r>
      <w:r w:rsidR="00B57EC1">
        <w:rPr>
          <w:rFonts w:ascii="Century Schoolbook" w:hAnsi="Century Schoolbook"/>
          <w:sz w:val="24"/>
          <w:szCs w:val="24"/>
        </w:rPr>
        <w:t>the manner benefits vest is not considered</w:t>
      </w:r>
      <w:r w:rsidR="00003A06">
        <w:rPr>
          <w:rFonts w:ascii="Century Schoolbook" w:hAnsi="Century Schoolbook"/>
          <w:sz w:val="24"/>
          <w:szCs w:val="24"/>
        </w:rPr>
        <w:t xml:space="preserve"> for BRF</w:t>
      </w:r>
      <w:r w:rsidR="00B57EC1">
        <w:rPr>
          <w:rFonts w:ascii="Century Schoolbook" w:hAnsi="Century Schoolbook"/>
          <w:sz w:val="24"/>
          <w:szCs w:val="24"/>
        </w:rPr>
        <w:t xml:space="preserve">.  See </w:t>
      </w:r>
      <w:hyperlink r:id="rId54" w:history="1">
        <w:r w:rsidR="00CA175B">
          <w:rPr>
            <w:rStyle w:val="Hyperlink"/>
            <w:rFonts w:ascii="Century Schoolbook" w:hAnsi="Century Schoolbook"/>
            <w:color w:val="000000" w:themeColor="text1"/>
            <w:sz w:val="24"/>
            <w:szCs w:val="24"/>
          </w:rPr>
          <w:t xml:space="preserve">Treas. </w:t>
        </w:r>
        <w:r w:rsidR="00CA175B" w:rsidRPr="009F10DD">
          <w:rPr>
            <w:rStyle w:val="Hyperlink"/>
            <w:rFonts w:ascii="Century Schoolbook" w:hAnsi="Century Schoolbook"/>
            <w:color w:val="000000" w:themeColor="text1"/>
            <w:sz w:val="24"/>
            <w:szCs w:val="24"/>
          </w:rPr>
          <w:t>Reg. §1.401(a)(4)-4(e)(1)(ii)</w:t>
        </w:r>
      </w:hyperlink>
      <w:r w:rsidR="00B57EC1" w:rsidRPr="009F10DD">
        <w:rPr>
          <w:rFonts w:ascii="Century Schoolbook" w:hAnsi="Century Schoolbook"/>
          <w:sz w:val="24"/>
          <w:szCs w:val="24"/>
        </w:rPr>
        <w:t xml:space="preserve"> and </w:t>
      </w:r>
      <w:hyperlink r:id="rId55" w:history="1">
        <w:r w:rsidR="00CA175B" w:rsidRPr="009F10DD">
          <w:rPr>
            <w:rStyle w:val="Hyperlink"/>
            <w:rFonts w:ascii="Century Schoolbook" w:hAnsi="Century Schoolbook"/>
            <w:color w:val="000000" w:themeColor="text1"/>
            <w:sz w:val="24"/>
            <w:szCs w:val="24"/>
          </w:rPr>
          <w:t>Treas. Reg. §1.401(a)(4)-4(e)(3)(ii)(B)</w:t>
        </w:r>
      </w:hyperlink>
      <w:r w:rsidR="00B57EC1" w:rsidRPr="009F10DD">
        <w:rPr>
          <w:rFonts w:ascii="Century Schoolbook" w:hAnsi="Century Schoolbook"/>
          <w:sz w:val="24"/>
          <w:szCs w:val="24"/>
        </w:rPr>
        <w:t xml:space="preserve">.  </w:t>
      </w:r>
      <w:r w:rsidR="00B57EC1">
        <w:rPr>
          <w:rFonts w:ascii="Century Schoolbook" w:hAnsi="Century Schoolbook"/>
          <w:sz w:val="24"/>
          <w:szCs w:val="24"/>
        </w:rPr>
        <w:t xml:space="preserve">Instead, there is a separate subsection of the regulations that deals with vesting nondiscrimination.  See </w:t>
      </w:r>
      <w:hyperlink r:id="rId56" w:history="1">
        <w:r w:rsidR="00CA175B">
          <w:rPr>
            <w:rStyle w:val="Hyperlink"/>
            <w:rFonts w:ascii="Century Schoolbook" w:hAnsi="Century Schoolbook"/>
            <w:color w:val="000000" w:themeColor="text1"/>
            <w:sz w:val="24"/>
            <w:szCs w:val="24"/>
          </w:rPr>
          <w:t>Treas. Reg. §1.401(a)(4)-11(c)</w:t>
        </w:r>
      </w:hyperlink>
      <w:r w:rsidR="00B57EC1">
        <w:rPr>
          <w:rFonts w:ascii="Century Schoolbook" w:hAnsi="Century Schoolbook"/>
          <w:sz w:val="24"/>
          <w:szCs w:val="24"/>
        </w:rPr>
        <w:t>.  This section reduces the fairness of vesting to a facts and circumstances test, although it contains some valuable rules, including the facts that statutory vesting schedules are equivalent.  So</w:t>
      </w:r>
      <w:r w:rsidR="00EE1BDB">
        <w:rPr>
          <w:rFonts w:ascii="Century Schoolbook" w:hAnsi="Century Schoolbook"/>
          <w:sz w:val="24"/>
          <w:szCs w:val="24"/>
        </w:rPr>
        <w:t>,</w:t>
      </w:r>
      <w:r w:rsidR="00B57EC1">
        <w:rPr>
          <w:rFonts w:ascii="Century Schoolbook" w:hAnsi="Century Schoolbook"/>
          <w:sz w:val="24"/>
          <w:szCs w:val="24"/>
        </w:rPr>
        <w:t xml:space="preserve"> if one plan had a 6-year graded vesting schedule and the other a 3-year cliff (which would be common with the combination of a cash balance plan with a 401(k) plan), the two schedules are equivalent.</w:t>
      </w:r>
    </w:p>
    <w:p w:rsidR="002E664A" w:rsidRPr="00003A06" w:rsidRDefault="002E664A" w:rsidP="002C3512">
      <w:pPr>
        <w:pStyle w:val="ListParagraph"/>
        <w:numPr>
          <w:ilvl w:val="0"/>
          <w:numId w:val="1"/>
        </w:numPr>
        <w:jc w:val="both"/>
        <w:rPr>
          <w:rFonts w:ascii="Century Schoolbook" w:hAnsi="Century Schoolbook"/>
          <w:i/>
          <w:sz w:val="24"/>
          <w:szCs w:val="24"/>
        </w:rPr>
      </w:pPr>
      <w:r w:rsidRPr="00003A06">
        <w:rPr>
          <w:rFonts w:ascii="Century Schoolbook" w:hAnsi="Century Schoolbook"/>
          <w:i/>
          <w:sz w:val="24"/>
          <w:szCs w:val="24"/>
        </w:rPr>
        <w:t xml:space="preserve">A Volume Submitter 401(k) adoption agreement [effective 1/1/2016] indicates, "Yes...A controlled group" AND, "Yes, affiliated ER adopts the Plan as Participating Employer."  (And, yes, executed participation agreement in place.)  Plan permits pre-tax, Roth, and has SH basic match.  Has not made PS </w:t>
      </w:r>
      <w:r w:rsidRPr="00003A06">
        <w:rPr>
          <w:rFonts w:ascii="Century Schoolbook" w:hAnsi="Century Schoolbook"/>
          <w:i/>
          <w:sz w:val="24"/>
          <w:szCs w:val="24"/>
        </w:rPr>
        <w:lastRenderedPageBreak/>
        <w:t>contributions.  Now, almost 2 years later... TPA contacted to see IF two EEs of this other business could participate in plan?  Of course, answer is yes, but TPA realizes that EE census data of participating employer has never been provided.  Likely missed opportunity to defer, at the very least.  Other concerns here..?</w:t>
      </w:r>
    </w:p>
    <w:p w:rsidR="00EE1BDB" w:rsidRDefault="00EE1BDB" w:rsidP="002C3512">
      <w:pPr>
        <w:jc w:val="both"/>
        <w:rPr>
          <w:rFonts w:ascii="Century Schoolbook" w:hAnsi="Century Schoolbook"/>
          <w:sz w:val="24"/>
          <w:szCs w:val="24"/>
        </w:rPr>
      </w:pPr>
      <w:r>
        <w:rPr>
          <w:rFonts w:ascii="Century Schoolbook" w:hAnsi="Century Schoolbook"/>
          <w:sz w:val="24"/>
          <w:szCs w:val="24"/>
        </w:rPr>
        <w:t>I don’t know all the facts. Would you like a parade of possibilities?</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Missed deferrals</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Missed match</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Failure to provide safe harbor notice</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Failure to provide participant fee disclosures</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Incorrect coverage testing</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Incorrect 401(a)(4) testing of nonelective contributions</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Improper allocation of nonelective contributions</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Incorrect allocation of forfeitures</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Late distributions</w:t>
      </w:r>
    </w:p>
    <w:p w:rsid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Failure to contribute and allocate top-heavy minimums</w:t>
      </w:r>
    </w:p>
    <w:p w:rsidR="00EE1BDB" w:rsidRPr="00EE1BDB" w:rsidRDefault="00EE1BDB" w:rsidP="002C3512">
      <w:pPr>
        <w:pStyle w:val="ListParagraph"/>
        <w:numPr>
          <w:ilvl w:val="0"/>
          <w:numId w:val="6"/>
        </w:numPr>
        <w:jc w:val="both"/>
        <w:rPr>
          <w:rFonts w:ascii="Century Schoolbook" w:hAnsi="Century Schoolbook"/>
          <w:sz w:val="24"/>
          <w:szCs w:val="24"/>
        </w:rPr>
      </w:pPr>
      <w:r>
        <w:rPr>
          <w:rFonts w:ascii="Century Schoolbook" w:hAnsi="Century Schoolbook"/>
          <w:sz w:val="24"/>
          <w:szCs w:val="24"/>
        </w:rPr>
        <w:t>Malpractice in not noticing this issue sooner</w:t>
      </w:r>
    </w:p>
    <w:p w:rsidR="00EE1BDB" w:rsidRPr="00EE1BDB" w:rsidRDefault="00EE1BDB" w:rsidP="002C3512">
      <w:pPr>
        <w:jc w:val="both"/>
        <w:rPr>
          <w:rFonts w:ascii="Century Schoolbook" w:hAnsi="Century Schoolbook"/>
          <w:sz w:val="24"/>
          <w:szCs w:val="24"/>
        </w:rPr>
      </w:pPr>
    </w:p>
    <w:p w:rsidR="00C82CC2" w:rsidRPr="00003A06" w:rsidRDefault="00C82CC2" w:rsidP="002C3512">
      <w:pPr>
        <w:pStyle w:val="ListParagraph"/>
        <w:numPr>
          <w:ilvl w:val="0"/>
          <w:numId w:val="1"/>
        </w:numPr>
        <w:jc w:val="both"/>
        <w:rPr>
          <w:rFonts w:ascii="Century Schoolbook" w:hAnsi="Century Schoolbook"/>
          <w:i/>
          <w:sz w:val="24"/>
          <w:szCs w:val="24"/>
        </w:rPr>
      </w:pPr>
      <w:r w:rsidRPr="00003A06">
        <w:rPr>
          <w:rFonts w:ascii="Century Schoolbook" w:hAnsi="Century Schoolbook"/>
          <w:i/>
          <w:sz w:val="24"/>
          <w:szCs w:val="24"/>
        </w:rPr>
        <w:t>If A sponsors a Safe Harbor 401k and is related to B but the plan passes testing so B is not included.  An employee works for both A and B.  Does the compensation from B need to be included in determination of the match or other non-elective contribution such as profit-sharing?</w:t>
      </w:r>
    </w:p>
    <w:p w:rsidR="00EE1BDB" w:rsidRDefault="00EE1BDB" w:rsidP="002C3512">
      <w:pPr>
        <w:jc w:val="both"/>
        <w:rPr>
          <w:rFonts w:ascii="Century Schoolbook" w:hAnsi="Century Schoolbook"/>
          <w:sz w:val="24"/>
          <w:szCs w:val="24"/>
        </w:rPr>
      </w:pPr>
      <w:r>
        <w:rPr>
          <w:rFonts w:ascii="Century Schoolbook" w:hAnsi="Century Schoolbook"/>
          <w:sz w:val="24"/>
          <w:szCs w:val="24"/>
        </w:rPr>
        <w:t xml:space="preserve">Safe harbor contributions must be based on a nondiscriminatory definition of compensation.  Check your document.  Does it count compensation from all employers or just the sponsoring employer?  </w:t>
      </w:r>
      <w:r w:rsidR="00003A06">
        <w:rPr>
          <w:rFonts w:ascii="Century Schoolbook" w:hAnsi="Century Schoolbook"/>
          <w:sz w:val="24"/>
          <w:szCs w:val="24"/>
        </w:rPr>
        <w:t>L</w:t>
      </w:r>
      <w:r>
        <w:rPr>
          <w:rFonts w:ascii="Century Schoolbook" w:hAnsi="Century Schoolbook"/>
          <w:sz w:val="24"/>
          <w:szCs w:val="24"/>
        </w:rPr>
        <w:t xml:space="preserve">imiting compensation to that provided by the sponsoring employer is perfectly acceptable for safe harbor contribution if it is nondiscriminatory under </w:t>
      </w:r>
      <w:hyperlink r:id="rId57" w:history="1">
        <w:r w:rsidR="00E25BD9">
          <w:rPr>
            <w:rStyle w:val="Hyperlink"/>
            <w:rFonts w:ascii="Century Schoolbook" w:hAnsi="Century Schoolbook"/>
            <w:color w:val="000000" w:themeColor="text1"/>
            <w:sz w:val="24"/>
            <w:szCs w:val="24"/>
          </w:rPr>
          <w:t>Code §414(s)</w:t>
        </w:r>
      </w:hyperlink>
      <w:r>
        <w:rPr>
          <w:rFonts w:ascii="Century Schoolbook" w:hAnsi="Century Schoolbook"/>
          <w:sz w:val="24"/>
          <w:szCs w:val="24"/>
        </w:rPr>
        <w:t xml:space="preserve">.  </w:t>
      </w:r>
      <w:r w:rsidR="00833D4E">
        <w:rPr>
          <w:rFonts w:ascii="Century Schoolbook" w:hAnsi="Century Schoolbook"/>
          <w:sz w:val="24"/>
          <w:szCs w:val="24"/>
        </w:rPr>
        <w:t xml:space="preserve">See </w:t>
      </w:r>
      <w:hyperlink r:id="rId58" w:history="1">
        <w:r w:rsidR="000E2763">
          <w:rPr>
            <w:rStyle w:val="Hyperlink"/>
            <w:rFonts w:ascii="Century Schoolbook" w:hAnsi="Century Schoolbook"/>
            <w:color w:val="000000" w:themeColor="text1"/>
            <w:sz w:val="24"/>
            <w:szCs w:val="24"/>
          </w:rPr>
          <w:t>Q 20:28</w:t>
        </w:r>
      </w:hyperlink>
      <w:r w:rsidR="00833D4E">
        <w:rPr>
          <w:rFonts w:ascii="Century Schoolbook" w:hAnsi="Century Schoolbook"/>
          <w:sz w:val="24"/>
          <w:szCs w:val="24"/>
        </w:rPr>
        <w:t xml:space="preserve"> and </w:t>
      </w:r>
      <w:bookmarkStart w:id="3" w:name="_Hlk498959051"/>
      <w:r w:rsidR="00CE2CC2" w:rsidRPr="009C51D3">
        <w:fldChar w:fldCharType="begin"/>
      </w:r>
      <w:r w:rsidR="00B94E2A">
        <w:instrText>HYPERLINK "https://www.ERISApedia.com/search?e82a984fa00eba24c=Y&amp;Source=BOOKWHOER&amp;ID=CHAPTER20&amp;TARGET=330"</w:instrText>
      </w:r>
      <w:r w:rsidR="00CE2CC2" w:rsidRPr="009C51D3">
        <w:fldChar w:fldCharType="separate"/>
      </w:r>
      <w:r w:rsidR="000E2763">
        <w:rPr>
          <w:rStyle w:val="Hyperlink"/>
          <w:rFonts w:ascii="Century Schoolbook" w:hAnsi="Century Schoolbook"/>
          <w:color w:val="000000" w:themeColor="text1"/>
          <w:sz w:val="24"/>
          <w:szCs w:val="24"/>
        </w:rPr>
        <w:t>Q 20:33</w:t>
      </w:r>
      <w:r w:rsidR="00CE2CC2" w:rsidRPr="009C51D3">
        <w:rPr>
          <w:rStyle w:val="Hyperlink"/>
          <w:rFonts w:ascii="Century Schoolbook" w:hAnsi="Century Schoolbook"/>
          <w:color w:val="000000" w:themeColor="text1"/>
          <w:sz w:val="24"/>
          <w:szCs w:val="24"/>
          <w:u w:val="none"/>
        </w:rPr>
        <w:fldChar w:fldCharType="end"/>
      </w:r>
      <w:bookmarkEnd w:id="3"/>
      <w:r>
        <w:rPr>
          <w:rFonts w:ascii="Century Schoolbook" w:hAnsi="Century Schoolbook"/>
          <w:sz w:val="24"/>
          <w:szCs w:val="24"/>
        </w:rPr>
        <w:t>.</w:t>
      </w:r>
      <w:r w:rsidR="00833D4E">
        <w:rPr>
          <w:rFonts w:ascii="Century Schoolbook" w:hAnsi="Century Schoolbook"/>
          <w:sz w:val="24"/>
          <w:szCs w:val="24"/>
        </w:rPr>
        <w:t xml:space="preserve"> Whether it is nondiscriminatory will turn on whether it passes the compensation ratio test.</w:t>
      </w:r>
      <w:r w:rsidR="000E2763" w:rsidRPr="000E2763">
        <w:rPr>
          <w:color w:val="000000" w:themeColor="text1"/>
        </w:rPr>
        <w:t xml:space="preserve"> </w:t>
      </w:r>
      <w:hyperlink r:id="rId59" w:history="1">
        <w:r w:rsidR="000E2763">
          <w:rPr>
            <w:rStyle w:val="Hyperlink"/>
            <w:rFonts w:ascii="Century Schoolbook" w:hAnsi="Century Schoolbook"/>
            <w:color w:val="000000" w:themeColor="text1"/>
            <w:sz w:val="24"/>
            <w:szCs w:val="24"/>
          </w:rPr>
          <w:t>Q 20:27</w:t>
        </w:r>
      </w:hyperlink>
      <w:r w:rsidR="00833D4E">
        <w:rPr>
          <w:rFonts w:ascii="Century Schoolbook" w:hAnsi="Century Schoolbook"/>
          <w:sz w:val="24"/>
          <w:szCs w:val="24"/>
        </w:rPr>
        <w:t>.</w:t>
      </w:r>
    </w:p>
    <w:p w:rsidR="00833D4E" w:rsidRDefault="00833D4E" w:rsidP="002C3512">
      <w:pPr>
        <w:jc w:val="both"/>
        <w:rPr>
          <w:rFonts w:ascii="Century Schoolbook" w:hAnsi="Century Schoolbook"/>
          <w:sz w:val="24"/>
          <w:szCs w:val="24"/>
        </w:rPr>
      </w:pPr>
      <w:r>
        <w:rPr>
          <w:rFonts w:ascii="Century Schoolbook" w:hAnsi="Century Schoolbook"/>
          <w:sz w:val="24"/>
          <w:szCs w:val="24"/>
        </w:rPr>
        <w:t>A plan can use any definitely determinable definition of compensation to allocate a nonelective contribution outside the 401(k) safe harbor rules.  However, the fairness of that contribution must be tested using nondiscriminatory compensation.</w:t>
      </w:r>
    </w:p>
    <w:p w:rsidR="00003A06" w:rsidRPr="00EC19FD" w:rsidRDefault="00003A06" w:rsidP="002C3512">
      <w:pPr>
        <w:jc w:val="both"/>
        <w:rPr>
          <w:rFonts w:ascii="Century Schoolbook" w:hAnsi="Century Schoolbook"/>
          <w:sz w:val="24"/>
          <w:szCs w:val="24"/>
        </w:rPr>
      </w:pPr>
    </w:p>
    <w:p w:rsidR="00DD68C2" w:rsidRPr="00003A06" w:rsidRDefault="00DD68C2" w:rsidP="002C3512">
      <w:pPr>
        <w:pStyle w:val="ListParagraph"/>
        <w:numPr>
          <w:ilvl w:val="0"/>
          <w:numId w:val="1"/>
        </w:numPr>
        <w:jc w:val="both"/>
        <w:rPr>
          <w:rFonts w:ascii="Century Schoolbook" w:hAnsi="Century Schoolbook"/>
          <w:i/>
          <w:sz w:val="24"/>
          <w:szCs w:val="24"/>
        </w:rPr>
      </w:pPr>
      <w:r w:rsidRPr="00003A06">
        <w:rPr>
          <w:rFonts w:ascii="Century Schoolbook" w:hAnsi="Century Schoolbook"/>
          <w:i/>
          <w:sz w:val="24"/>
          <w:szCs w:val="24"/>
        </w:rPr>
        <w:t>You have eligibility of three months of service.  For coverage testing, can you also exclude those employees who have not completed one year of service and attained age 21?</w:t>
      </w:r>
    </w:p>
    <w:p w:rsidR="00833D4E" w:rsidRPr="00833D4E" w:rsidRDefault="00833D4E" w:rsidP="002C3512">
      <w:pPr>
        <w:jc w:val="both"/>
        <w:rPr>
          <w:rFonts w:ascii="Century Schoolbook" w:hAnsi="Century Schoolbook"/>
          <w:sz w:val="24"/>
          <w:szCs w:val="24"/>
        </w:rPr>
      </w:pPr>
      <w:r>
        <w:rPr>
          <w:rFonts w:ascii="Century Schoolbook" w:hAnsi="Century Schoolbook"/>
          <w:sz w:val="24"/>
          <w:szCs w:val="24"/>
        </w:rPr>
        <w:lastRenderedPageBreak/>
        <w:t xml:space="preserve">The otherwise excludable employee (OEE) rule can allow you to treat separately those employees who have entered the plan because of generous eligibility provisions but have not earned 1 year of service, attained age 21, and passed an entry date, from those who have satisfied these maximum eligibility provisions.  </w:t>
      </w:r>
      <w:r w:rsidR="004E30E4">
        <w:rPr>
          <w:rFonts w:ascii="Century Schoolbook" w:hAnsi="Century Schoolbook"/>
          <w:sz w:val="24"/>
          <w:szCs w:val="24"/>
        </w:rPr>
        <w:t xml:space="preserve">I discuss the OEE rule extensively at </w:t>
      </w:r>
      <w:hyperlink r:id="rId60" w:history="1">
        <w:r w:rsidR="007E3332">
          <w:rPr>
            <w:rStyle w:val="Hyperlink"/>
            <w:rFonts w:ascii="Century Schoolbook" w:hAnsi="Century Schoolbook"/>
            <w:color w:val="000000" w:themeColor="text1"/>
            <w:sz w:val="24"/>
            <w:szCs w:val="24"/>
          </w:rPr>
          <w:t>Q 22:10</w:t>
        </w:r>
      </w:hyperlink>
      <w:r w:rsidR="004E30E4">
        <w:rPr>
          <w:rFonts w:ascii="Century Schoolbook" w:hAnsi="Century Schoolbook"/>
          <w:sz w:val="24"/>
          <w:szCs w:val="24"/>
        </w:rPr>
        <w:t xml:space="preserve">, </w:t>
      </w:r>
      <w:hyperlink r:id="rId61" w:history="1">
        <w:r w:rsidR="007E3332">
          <w:rPr>
            <w:rStyle w:val="Hyperlink"/>
            <w:rFonts w:ascii="Century Schoolbook" w:hAnsi="Century Schoolbook"/>
            <w:color w:val="000000" w:themeColor="text1"/>
            <w:sz w:val="24"/>
            <w:szCs w:val="24"/>
          </w:rPr>
          <w:t>Q 22:</w:t>
        </w:r>
        <w:r w:rsidR="007E3332">
          <w:rPr>
            <w:rStyle w:val="Hyperlink"/>
            <w:rFonts w:ascii="Century Schoolbook" w:hAnsi="Century Schoolbook"/>
            <w:color w:val="000000" w:themeColor="text1"/>
            <w:sz w:val="24"/>
            <w:szCs w:val="24"/>
          </w:rPr>
          <w:t>1</w:t>
        </w:r>
        <w:r w:rsidR="007E3332">
          <w:rPr>
            <w:rStyle w:val="Hyperlink"/>
            <w:rFonts w:ascii="Century Schoolbook" w:hAnsi="Century Schoolbook"/>
            <w:color w:val="000000" w:themeColor="text1"/>
            <w:sz w:val="24"/>
            <w:szCs w:val="24"/>
          </w:rPr>
          <w:t>5</w:t>
        </w:r>
      </w:hyperlink>
      <w:r w:rsidR="004E30E4">
        <w:rPr>
          <w:rFonts w:ascii="Century Schoolbook" w:hAnsi="Century Schoolbook"/>
          <w:sz w:val="24"/>
          <w:szCs w:val="24"/>
        </w:rPr>
        <w:t xml:space="preserve">, and </w:t>
      </w:r>
      <w:hyperlink r:id="rId62" w:history="1">
        <w:r w:rsidR="007E3332">
          <w:rPr>
            <w:rStyle w:val="Hyperlink"/>
            <w:rFonts w:ascii="Century Schoolbook" w:hAnsi="Century Schoolbook"/>
            <w:color w:val="000000" w:themeColor="text1"/>
            <w:sz w:val="24"/>
            <w:szCs w:val="24"/>
          </w:rPr>
          <w:t>Q 2</w:t>
        </w:r>
        <w:r w:rsidR="007E3332">
          <w:rPr>
            <w:rStyle w:val="Hyperlink"/>
            <w:rFonts w:ascii="Century Schoolbook" w:hAnsi="Century Schoolbook"/>
            <w:color w:val="000000" w:themeColor="text1"/>
            <w:sz w:val="24"/>
            <w:szCs w:val="24"/>
          </w:rPr>
          <w:t>3</w:t>
        </w:r>
        <w:r w:rsidR="007E3332">
          <w:rPr>
            <w:rStyle w:val="Hyperlink"/>
            <w:rFonts w:ascii="Century Schoolbook" w:hAnsi="Century Schoolbook"/>
            <w:color w:val="000000" w:themeColor="text1"/>
            <w:sz w:val="24"/>
            <w:szCs w:val="24"/>
          </w:rPr>
          <w:t>:7</w:t>
        </w:r>
      </w:hyperlink>
      <w:r w:rsidR="004E30E4">
        <w:rPr>
          <w:rFonts w:ascii="Century Schoolbook" w:hAnsi="Century Schoolbook"/>
          <w:sz w:val="24"/>
          <w:szCs w:val="24"/>
        </w:rPr>
        <w:t>.</w:t>
      </w:r>
    </w:p>
    <w:p w:rsidR="00B12224" w:rsidRPr="00EC19FD" w:rsidRDefault="00B12224" w:rsidP="002C3512">
      <w:pPr>
        <w:jc w:val="both"/>
        <w:rPr>
          <w:rFonts w:ascii="Century Schoolbook" w:hAnsi="Century Schoolbook"/>
          <w:sz w:val="24"/>
          <w:szCs w:val="24"/>
        </w:rPr>
      </w:pPr>
    </w:p>
    <w:p w:rsidR="00B12224" w:rsidRPr="00003A06" w:rsidRDefault="00B12224" w:rsidP="002C3512">
      <w:pPr>
        <w:pStyle w:val="ListParagraph"/>
        <w:numPr>
          <w:ilvl w:val="0"/>
          <w:numId w:val="1"/>
        </w:numPr>
        <w:jc w:val="both"/>
        <w:rPr>
          <w:rFonts w:ascii="Century Schoolbook" w:hAnsi="Century Schoolbook"/>
          <w:i/>
          <w:sz w:val="24"/>
          <w:szCs w:val="24"/>
        </w:rPr>
      </w:pPr>
      <w:r w:rsidRPr="00003A06">
        <w:rPr>
          <w:rFonts w:ascii="Century Schoolbook" w:hAnsi="Century Schoolbook"/>
          <w:i/>
          <w:sz w:val="24"/>
          <w:szCs w:val="24"/>
        </w:rPr>
        <w:t>Slide 25: forgot to say "what does the plan document state" - some plans have detailed steps for failed 410b testing and don't permit average benefits testing. Many are flexible, but some are not.</w:t>
      </w:r>
    </w:p>
    <w:p w:rsidR="004E30E4" w:rsidRDefault="004E30E4" w:rsidP="002C3512">
      <w:pPr>
        <w:jc w:val="both"/>
        <w:rPr>
          <w:rFonts w:ascii="Century Schoolbook" w:hAnsi="Century Schoolbook"/>
          <w:sz w:val="24"/>
          <w:szCs w:val="24"/>
        </w:rPr>
      </w:pPr>
      <w:r>
        <w:rPr>
          <w:rFonts w:ascii="Century Schoolbook" w:hAnsi="Century Schoolbook"/>
          <w:sz w:val="24"/>
          <w:szCs w:val="24"/>
        </w:rPr>
        <w:t>If a plan preapproved plan uses a coverage failsafe provision, the plan is required to pass the ratio percentage test.  But remember, that provision is designed to address people who fail to receive an allocation because they did not satisfy an allocation provision.  I have yet to see one that dealt with groups excl</w:t>
      </w:r>
      <w:r w:rsidR="00215FEB">
        <w:rPr>
          <w:rFonts w:ascii="Century Schoolbook" w:hAnsi="Century Schoolbook"/>
          <w:sz w:val="24"/>
          <w:szCs w:val="24"/>
        </w:rPr>
        <w:t xml:space="preserve">uded from the plan altogether, such as a related employer situation.  </w:t>
      </w:r>
    </w:p>
    <w:p w:rsidR="00215FEB" w:rsidRDefault="00215FEB" w:rsidP="002C3512">
      <w:pPr>
        <w:jc w:val="both"/>
        <w:rPr>
          <w:rFonts w:ascii="Century Schoolbook" w:hAnsi="Century Schoolbook"/>
          <w:sz w:val="24"/>
          <w:szCs w:val="24"/>
        </w:rPr>
      </w:pPr>
      <w:r>
        <w:rPr>
          <w:rFonts w:ascii="Century Schoolbook" w:hAnsi="Century Schoolbook"/>
          <w:sz w:val="24"/>
          <w:szCs w:val="24"/>
        </w:rPr>
        <w:t>You are correct that you must check the document carefully.  In one preapproved plan I helped author, the plan says that if the employer elects the failsafe, the plan is barred from using the average benefits test unless the plan will still fail even after waiving all allocation conditions.</w:t>
      </w:r>
    </w:p>
    <w:p w:rsidR="00B12224" w:rsidRPr="00EC19FD" w:rsidRDefault="00B12224" w:rsidP="002C3512">
      <w:pPr>
        <w:jc w:val="both"/>
        <w:rPr>
          <w:rFonts w:ascii="Century Schoolbook" w:hAnsi="Century Schoolbook"/>
          <w:sz w:val="24"/>
          <w:szCs w:val="24"/>
        </w:rPr>
      </w:pPr>
    </w:p>
    <w:p w:rsidR="00B12224" w:rsidRPr="00B63397" w:rsidRDefault="00B12224"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Company A and B are related.  Company A has a SIMPLE 401(k) and Company B has a profit sharing plan.  No employees from either plan benefit in the other plan (is this an issue because the SIMPLE has to cover all EEs of the related employer?).  Assume, they pass coverage excluding the other plans.  Does this violate the SIMPLE exclusive plan rule?  This assumes the transition period has already passed.  Thank you!</w:t>
      </w:r>
    </w:p>
    <w:p w:rsidR="00215FEB" w:rsidRPr="00EC19FD" w:rsidRDefault="00215FEB" w:rsidP="002C3512">
      <w:pPr>
        <w:pStyle w:val="ListParagraph"/>
        <w:jc w:val="both"/>
        <w:rPr>
          <w:rFonts w:ascii="Century Schoolbook" w:hAnsi="Century Schoolbook"/>
          <w:sz w:val="24"/>
          <w:szCs w:val="24"/>
        </w:rPr>
      </w:pPr>
    </w:p>
    <w:p w:rsidR="00CD546B" w:rsidRDefault="00215FEB" w:rsidP="002C3512">
      <w:pPr>
        <w:pStyle w:val="ListParagraph"/>
        <w:numPr>
          <w:ilvl w:val="0"/>
          <w:numId w:val="7"/>
        </w:numPr>
        <w:jc w:val="both"/>
        <w:rPr>
          <w:rFonts w:ascii="Century Schoolbook" w:hAnsi="Century Schoolbook"/>
          <w:sz w:val="24"/>
          <w:szCs w:val="24"/>
        </w:rPr>
      </w:pPr>
      <w:r>
        <w:rPr>
          <w:rFonts w:ascii="Century Schoolbook" w:hAnsi="Century Schoolbook"/>
          <w:sz w:val="24"/>
          <w:szCs w:val="24"/>
        </w:rPr>
        <w:t>A SIMPLE 401(k) need not cover all employees, unlike a SIMPLE IRA.</w:t>
      </w:r>
    </w:p>
    <w:p w:rsidR="00215FEB" w:rsidRPr="00215FEB" w:rsidRDefault="00215FEB" w:rsidP="002C3512">
      <w:pPr>
        <w:pStyle w:val="ListParagraph"/>
        <w:numPr>
          <w:ilvl w:val="0"/>
          <w:numId w:val="7"/>
        </w:numPr>
        <w:jc w:val="both"/>
        <w:rPr>
          <w:rFonts w:ascii="Century Schoolbook" w:hAnsi="Century Schoolbook"/>
          <w:sz w:val="24"/>
          <w:szCs w:val="24"/>
        </w:rPr>
      </w:pPr>
      <w:r>
        <w:rPr>
          <w:rFonts w:ascii="Century Schoolbook" w:hAnsi="Century Schoolbook"/>
          <w:sz w:val="24"/>
          <w:szCs w:val="24"/>
        </w:rPr>
        <w:t xml:space="preserve">The B plan violates the exclusive plan rule.  See </w:t>
      </w:r>
      <w:hyperlink r:id="rId63" w:history="1">
        <w:r w:rsidR="00701C5A">
          <w:rPr>
            <w:rStyle w:val="Hyperlink"/>
            <w:rFonts w:ascii="Century Schoolbook" w:hAnsi="Century Schoolbook"/>
            <w:color w:val="000000" w:themeColor="text1"/>
            <w:sz w:val="24"/>
            <w:szCs w:val="24"/>
          </w:rPr>
          <w:t>Q 25:4</w:t>
        </w:r>
      </w:hyperlink>
      <w:r>
        <w:rPr>
          <w:rFonts w:ascii="Century Schoolbook" w:hAnsi="Century Schoolbook"/>
          <w:sz w:val="24"/>
          <w:szCs w:val="24"/>
        </w:rPr>
        <w:t>.</w:t>
      </w:r>
    </w:p>
    <w:p w:rsidR="007754E0" w:rsidRPr="00EC19FD" w:rsidRDefault="007754E0" w:rsidP="002C3512">
      <w:pPr>
        <w:jc w:val="both"/>
        <w:rPr>
          <w:rFonts w:ascii="Century Schoolbook" w:hAnsi="Century Schoolbook"/>
          <w:sz w:val="24"/>
          <w:szCs w:val="24"/>
        </w:rPr>
      </w:pPr>
    </w:p>
    <w:p w:rsidR="001A5BEC" w:rsidRPr="00B63397" w:rsidRDefault="00CD546B"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Average benefit test you used just the % contribution can you add age based testing</w:t>
      </w:r>
      <w:r w:rsidR="007754E0" w:rsidRPr="00B63397">
        <w:rPr>
          <w:rFonts w:ascii="Century Schoolbook" w:hAnsi="Century Schoolbook"/>
          <w:i/>
          <w:sz w:val="24"/>
          <w:szCs w:val="24"/>
        </w:rPr>
        <w:t>. U</w:t>
      </w:r>
      <w:r w:rsidR="001A5BEC" w:rsidRPr="00B63397">
        <w:rPr>
          <w:rFonts w:ascii="Century Schoolbook" w:hAnsi="Century Schoolbook"/>
          <w:i/>
          <w:sz w:val="24"/>
          <w:szCs w:val="24"/>
        </w:rPr>
        <w:t>nder the Average Benefits Test, if there are no employer contributions for the Plan Year for all Plans, does the Plan fail the Average Benefits Percentage test?</w:t>
      </w:r>
    </w:p>
    <w:p w:rsidR="00723024" w:rsidRPr="00215FEB" w:rsidRDefault="006E0F5E" w:rsidP="002C3512">
      <w:pPr>
        <w:jc w:val="both"/>
        <w:rPr>
          <w:rFonts w:ascii="Century Schoolbook" w:hAnsi="Century Schoolbook"/>
          <w:sz w:val="24"/>
          <w:szCs w:val="24"/>
        </w:rPr>
      </w:pPr>
      <w:r>
        <w:rPr>
          <w:rFonts w:ascii="Century Schoolbook" w:hAnsi="Century Schoolbook"/>
          <w:sz w:val="24"/>
          <w:szCs w:val="24"/>
        </w:rPr>
        <w:t xml:space="preserve">You can perform the average benefits percentage test on a benefits basis.  </w:t>
      </w:r>
      <w:r w:rsidR="00723024">
        <w:rPr>
          <w:rFonts w:ascii="Century Schoolbook" w:hAnsi="Century Schoolbook"/>
          <w:sz w:val="24"/>
          <w:szCs w:val="24"/>
        </w:rPr>
        <w:t xml:space="preserve">Deferrals are treated as employer contributions and are included in the test. See </w:t>
      </w:r>
      <w:hyperlink r:id="rId64" w:history="1">
        <w:r w:rsidR="00701C5A">
          <w:rPr>
            <w:rStyle w:val="Hyperlink"/>
            <w:rFonts w:ascii="Century Schoolbook" w:hAnsi="Century Schoolbook"/>
            <w:color w:val="000000" w:themeColor="text1"/>
            <w:sz w:val="24"/>
            <w:szCs w:val="24"/>
          </w:rPr>
          <w:t>Q 23:18</w:t>
        </w:r>
      </w:hyperlink>
      <w:r w:rsidR="00723024">
        <w:rPr>
          <w:rFonts w:ascii="Century Schoolbook" w:hAnsi="Century Schoolbook"/>
          <w:sz w:val="24"/>
          <w:szCs w:val="24"/>
        </w:rPr>
        <w:t>.</w:t>
      </w:r>
    </w:p>
    <w:p w:rsidR="001A5BEC" w:rsidRPr="00EC19FD" w:rsidRDefault="001A5BEC" w:rsidP="002C3512">
      <w:pPr>
        <w:jc w:val="both"/>
        <w:rPr>
          <w:rFonts w:ascii="Century Schoolbook" w:hAnsi="Century Schoolbook"/>
          <w:sz w:val="24"/>
          <w:szCs w:val="24"/>
        </w:rPr>
      </w:pPr>
    </w:p>
    <w:p w:rsidR="001A5BEC" w:rsidRPr="00B63397" w:rsidRDefault="001A5BEC"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lastRenderedPageBreak/>
        <w:t>We have a client with a safe harbor 401k plan that includes employer securities.  The only asset in the plan is the employer securities.  All eligible employees have declined participation so to date there have been no deferrals or matching provided.  The company is part of a controlled group and the plan does not pass the ratio percentage test but would it pass the average benefits test since there are no HCE or NHCE contributions for the year?</w:t>
      </w:r>
    </w:p>
    <w:p w:rsidR="00723024" w:rsidRDefault="00723024" w:rsidP="002C3512">
      <w:pPr>
        <w:jc w:val="both"/>
        <w:rPr>
          <w:rFonts w:ascii="Century Schoolbook" w:hAnsi="Century Schoolbook"/>
          <w:sz w:val="24"/>
          <w:szCs w:val="24"/>
        </w:rPr>
      </w:pPr>
      <w:r>
        <w:rPr>
          <w:rFonts w:ascii="Century Schoolbook" w:hAnsi="Century Schoolbook"/>
          <w:sz w:val="24"/>
          <w:szCs w:val="24"/>
        </w:rPr>
        <w:t xml:space="preserve">A plan automatically passes coverage if no HCE benefits from the plan for the plan year. It need not satisfy either the ratio percentage test or the average benefits test.  See </w:t>
      </w:r>
      <w:hyperlink r:id="rId65" w:history="1">
        <w:r w:rsidR="00CA175B">
          <w:rPr>
            <w:rStyle w:val="Hyperlink"/>
            <w:rFonts w:ascii="Century Schoolbook" w:hAnsi="Century Schoolbook"/>
            <w:color w:val="000000" w:themeColor="text1"/>
            <w:sz w:val="24"/>
            <w:szCs w:val="24"/>
          </w:rPr>
          <w:t>Treas. Reg. §1.410(b)-2(b)(6)</w:t>
        </w:r>
      </w:hyperlink>
      <w:r>
        <w:rPr>
          <w:rFonts w:ascii="Century Schoolbook" w:hAnsi="Century Schoolbook"/>
          <w:sz w:val="24"/>
          <w:szCs w:val="24"/>
        </w:rPr>
        <w:t xml:space="preserve">; </w:t>
      </w:r>
      <w:hyperlink r:id="rId66" w:history="1">
        <w:r w:rsidR="00701C5A">
          <w:rPr>
            <w:rStyle w:val="Hyperlink"/>
            <w:rFonts w:ascii="Century Schoolbook" w:hAnsi="Century Schoolbook"/>
            <w:color w:val="000000" w:themeColor="text1"/>
            <w:sz w:val="24"/>
            <w:szCs w:val="24"/>
          </w:rPr>
          <w:t>Q 23:3</w:t>
        </w:r>
      </w:hyperlink>
      <w:r>
        <w:rPr>
          <w:rFonts w:ascii="Century Schoolbook" w:hAnsi="Century Schoolbook"/>
          <w:sz w:val="24"/>
          <w:szCs w:val="24"/>
        </w:rPr>
        <w:t>.</w:t>
      </w:r>
    </w:p>
    <w:p w:rsidR="00723024" w:rsidRPr="00EC19FD" w:rsidRDefault="00723024" w:rsidP="002C3512">
      <w:pPr>
        <w:jc w:val="both"/>
        <w:rPr>
          <w:rFonts w:ascii="Century Schoolbook" w:hAnsi="Century Schoolbook"/>
          <w:sz w:val="24"/>
          <w:szCs w:val="24"/>
        </w:rPr>
      </w:pPr>
    </w:p>
    <w:p w:rsidR="001A5BEC" w:rsidRPr="00B63397" w:rsidRDefault="001A5BEC"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 xml:space="preserve">If doing the Average Benefits Test, can you permissively aggregate the Cash Balance Contribution (DB) and a Non-elective under DC to determine EBAR </w:t>
      </w:r>
    </w:p>
    <w:p w:rsidR="009578A3" w:rsidRDefault="00723024" w:rsidP="002C3512">
      <w:pPr>
        <w:jc w:val="both"/>
        <w:rPr>
          <w:rFonts w:ascii="Century Schoolbook" w:hAnsi="Century Schoolbook"/>
          <w:sz w:val="24"/>
          <w:szCs w:val="24"/>
        </w:rPr>
      </w:pPr>
      <w:r>
        <w:rPr>
          <w:rFonts w:ascii="Century Schoolbook" w:hAnsi="Century Schoolbook"/>
          <w:sz w:val="24"/>
          <w:szCs w:val="24"/>
        </w:rPr>
        <w:t>Yes.  This is a common technique for passing</w:t>
      </w:r>
      <w:r w:rsidR="00E67F96">
        <w:rPr>
          <w:rFonts w:ascii="Century Schoolbook" w:hAnsi="Century Schoolbook"/>
          <w:sz w:val="24"/>
          <w:szCs w:val="24"/>
        </w:rPr>
        <w:t xml:space="preserve"> coverage and nondiscrimination with a DB/DC combo.  </w:t>
      </w:r>
      <w:r w:rsidR="009F10DD" w:rsidRPr="009F10DD">
        <w:rPr>
          <w:rFonts w:ascii="Century Schoolbook" w:hAnsi="Century Schoolbook"/>
          <w:sz w:val="24"/>
          <w:szCs w:val="24"/>
        </w:rPr>
        <w:t xml:space="preserve">Of course, when performing the average benefit percentage test (which is part of the average benefit test), one aggregates all benefits and contributions from all plans of all related employers.  See </w:t>
      </w:r>
      <w:hyperlink r:id="rId67" w:history="1">
        <w:r w:rsidR="009F10DD">
          <w:rPr>
            <w:rStyle w:val="Hyperlink"/>
            <w:rFonts w:ascii="Century Schoolbook" w:hAnsi="Century Schoolbook"/>
            <w:color w:val="000000" w:themeColor="text1"/>
            <w:sz w:val="24"/>
            <w:szCs w:val="24"/>
          </w:rPr>
          <w:t>Q 23</w:t>
        </w:r>
        <w:r w:rsidR="009F10DD">
          <w:rPr>
            <w:rStyle w:val="Hyperlink"/>
            <w:rFonts w:ascii="Century Schoolbook" w:hAnsi="Century Schoolbook"/>
            <w:color w:val="000000" w:themeColor="text1"/>
            <w:sz w:val="24"/>
            <w:szCs w:val="24"/>
          </w:rPr>
          <w:t>:</w:t>
        </w:r>
        <w:r w:rsidR="009F10DD">
          <w:rPr>
            <w:rStyle w:val="Hyperlink"/>
            <w:rFonts w:ascii="Century Schoolbook" w:hAnsi="Century Schoolbook"/>
            <w:color w:val="000000" w:themeColor="text1"/>
            <w:sz w:val="24"/>
            <w:szCs w:val="24"/>
          </w:rPr>
          <w:t>22</w:t>
        </w:r>
      </w:hyperlink>
      <w:r w:rsidR="009F10DD" w:rsidRPr="009F10DD">
        <w:rPr>
          <w:rFonts w:ascii="Century Schoolbook" w:hAnsi="Century Schoolbook"/>
          <w:sz w:val="24"/>
          <w:szCs w:val="24"/>
        </w:rPr>
        <w:t>.</w:t>
      </w:r>
    </w:p>
    <w:p w:rsidR="00723024" w:rsidRDefault="00723024" w:rsidP="009C51D3">
      <w:pPr>
        <w:jc w:val="both"/>
        <w:rPr>
          <w:rFonts w:ascii="Century Schoolbook" w:hAnsi="Century Schoolbook"/>
          <w:sz w:val="24"/>
          <w:szCs w:val="24"/>
        </w:rPr>
      </w:pPr>
      <w:r>
        <w:rPr>
          <w:rFonts w:ascii="Century Schoolbook" w:hAnsi="Century Schoolbook"/>
          <w:sz w:val="24"/>
          <w:szCs w:val="24"/>
        </w:rPr>
        <w:t xml:space="preserve"> </w:t>
      </w:r>
    </w:p>
    <w:p w:rsidR="00AD765E" w:rsidRPr="00B63397" w:rsidRDefault="00AD765E"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If during a 410(b)(6)(C) transition period following an acquisition that created a controlled group, the acquired company merges its plan into a MEP (not part of the related group), in effect terminating that plan.  Does that grace period still cover the plan in the plan year that the merger took place, or does the merger closing the plan result in a loss of the free coverage pass for that short plan year?  The Merged plan as part of the MEP does not have any pass under the transition period, correct?</w:t>
      </w:r>
    </w:p>
    <w:p w:rsidR="00AD765E" w:rsidRDefault="009578A3" w:rsidP="002C3512">
      <w:pPr>
        <w:jc w:val="both"/>
        <w:rPr>
          <w:rFonts w:ascii="Century Schoolbook" w:hAnsi="Century Schoolbook"/>
          <w:sz w:val="24"/>
          <w:szCs w:val="24"/>
        </w:rPr>
      </w:pPr>
      <w:r>
        <w:rPr>
          <w:rFonts w:ascii="Century Schoolbook" w:hAnsi="Century Schoolbook"/>
          <w:sz w:val="24"/>
          <w:szCs w:val="24"/>
        </w:rPr>
        <w:t>I’m not sure of all the facts, and would suggest you review this situation with ERISA counsel.  That said, I think it is safe to say that the free pass continues until the date of termination.  On these facts, I don’t see that the sponsor’s portion of the MEP has the benefit of a free pass.</w:t>
      </w:r>
    </w:p>
    <w:p w:rsidR="009578A3" w:rsidRPr="00EC19FD" w:rsidRDefault="009578A3" w:rsidP="002C3512">
      <w:pPr>
        <w:jc w:val="both"/>
        <w:rPr>
          <w:rFonts w:ascii="Century Schoolbook" w:hAnsi="Century Schoolbook"/>
          <w:sz w:val="24"/>
          <w:szCs w:val="24"/>
        </w:rPr>
      </w:pPr>
    </w:p>
    <w:p w:rsidR="008D30B6" w:rsidRPr="00B63397" w:rsidRDefault="005662F5"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C</w:t>
      </w:r>
      <w:r w:rsidR="008D30B6" w:rsidRPr="00B63397">
        <w:rPr>
          <w:rFonts w:ascii="Century Schoolbook" w:hAnsi="Century Schoolbook"/>
          <w:i/>
          <w:sz w:val="24"/>
          <w:szCs w:val="24"/>
        </w:rPr>
        <w:t xml:space="preserve">ontrolled group - 1 plan has SH match, one plan regular match.  </w:t>
      </w:r>
      <w:r w:rsidRPr="00B63397">
        <w:rPr>
          <w:rFonts w:ascii="Century Schoolbook" w:hAnsi="Century Schoolbook"/>
          <w:i/>
          <w:sz w:val="24"/>
          <w:szCs w:val="24"/>
        </w:rPr>
        <w:t>C</w:t>
      </w:r>
      <w:r w:rsidR="008D30B6" w:rsidRPr="00B63397">
        <w:rPr>
          <w:rFonts w:ascii="Century Schoolbook" w:hAnsi="Century Schoolbook"/>
          <w:i/>
          <w:sz w:val="24"/>
          <w:szCs w:val="24"/>
        </w:rPr>
        <w:t>ontrolled group passes coverage using ABT.  Can tested plan, pass ADP/ACP on a standalone basis?</w:t>
      </w:r>
    </w:p>
    <w:p w:rsidR="009578A3" w:rsidRPr="009578A3" w:rsidRDefault="009578A3" w:rsidP="002C3512">
      <w:pPr>
        <w:jc w:val="both"/>
        <w:rPr>
          <w:rFonts w:ascii="Century Schoolbook" w:hAnsi="Century Schoolbook"/>
          <w:sz w:val="24"/>
          <w:szCs w:val="24"/>
        </w:rPr>
      </w:pPr>
      <w:r>
        <w:rPr>
          <w:rFonts w:ascii="Century Schoolbook" w:hAnsi="Century Schoolbook"/>
          <w:sz w:val="24"/>
          <w:szCs w:val="24"/>
        </w:rPr>
        <w:t>Yes.  The ADP test looks only at those with the effective opportunity to defer to the plan being tested. It disregards employees who are part of the controlled group but who lack the opportunity to defer to that plan.</w:t>
      </w:r>
      <w:r w:rsidR="006F168F">
        <w:rPr>
          <w:rFonts w:ascii="Century Schoolbook" w:hAnsi="Century Schoolbook"/>
          <w:sz w:val="24"/>
          <w:szCs w:val="24"/>
        </w:rPr>
        <w:t xml:space="preserve"> Similarly, in a plan without </w:t>
      </w:r>
      <w:r w:rsidR="005F22CF">
        <w:rPr>
          <w:rFonts w:ascii="Century Schoolbook" w:hAnsi="Century Schoolbook"/>
          <w:sz w:val="24"/>
          <w:szCs w:val="24"/>
        </w:rPr>
        <w:t xml:space="preserve">voluntary </w:t>
      </w:r>
      <w:r w:rsidR="005F22CF">
        <w:rPr>
          <w:rFonts w:ascii="Century Schoolbook" w:hAnsi="Century Schoolbook"/>
          <w:sz w:val="24"/>
          <w:szCs w:val="24"/>
        </w:rPr>
        <w:lastRenderedPageBreak/>
        <w:t>after-tax contributions, the ACP test considers only those who are participants in the plan and satisfy the allocation conditions to receive a match.</w:t>
      </w:r>
    </w:p>
    <w:p w:rsidR="008D30B6" w:rsidRPr="00EC19FD" w:rsidRDefault="008D30B6" w:rsidP="002C3512">
      <w:pPr>
        <w:jc w:val="both"/>
        <w:rPr>
          <w:rFonts w:ascii="Century Schoolbook" w:hAnsi="Century Schoolbook"/>
          <w:sz w:val="24"/>
          <w:szCs w:val="24"/>
        </w:rPr>
      </w:pPr>
    </w:p>
    <w:p w:rsidR="008D30B6" w:rsidRPr="00B63397" w:rsidRDefault="008D30B6"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2 plans in CG one makes a sh match the other makes a reg. match the plans do not pass coverage on their own can we permissively aggregate for adp / acp throwing the one plan out of sh status</w:t>
      </w:r>
      <w:r w:rsidR="007754E0" w:rsidRPr="00B63397">
        <w:rPr>
          <w:rFonts w:ascii="Century Schoolbook" w:hAnsi="Century Schoolbook"/>
          <w:i/>
          <w:sz w:val="24"/>
          <w:szCs w:val="24"/>
        </w:rPr>
        <w:t>?</w:t>
      </w:r>
    </w:p>
    <w:p w:rsidR="005F22CF" w:rsidRPr="005F22CF" w:rsidRDefault="005F22CF" w:rsidP="002C3512">
      <w:pPr>
        <w:jc w:val="both"/>
        <w:rPr>
          <w:rFonts w:ascii="Century Schoolbook" w:hAnsi="Century Schoolbook"/>
          <w:sz w:val="24"/>
          <w:szCs w:val="24"/>
        </w:rPr>
      </w:pPr>
      <w:r>
        <w:rPr>
          <w:rFonts w:ascii="Century Schoolbook" w:hAnsi="Century Schoolbook"/>
          <w:sz w:val="24"/>
          <w:szCs w:val="24"/>
        </w:rPr>
        <w:t xml:space="preserve">No.  Not only does this violate the prohibition on aggregating 401(k) plans with inconsistent testing methods, discussed above at question 10, it also violates the prohibition on performing the ADP test on a safe harbor plan.  </w:t>
      </w:r>
      <w:hyperlink r:id="rId68" w:history="1">
        <w:r w:rsidR="00CA175B">
          <w:rPr>
            <w:rStyle w:val="Hyperlink"/>
            <w:rFonts w:ascii="Century Schoolbook" w:hAnsi="Century Schoolbook"/>
            <w:color w:val="000000" w:themeColor="text1"/>
            <w:sz w:val="24"/>
            <w:szCs w:val="24"/>
          </w:rPr>
          <w:t>Treas. Reg. §1.401(k)-1(e)(7)</w:t>
        </w:r>
      </w:hyperlink>
      <w:r>
        <w:rPr>
          <w:rFonts w:ascii="Century Schoolbook" w:hAnsi="Century Schoolbook"/>
          <w:sz w:val="24"/>
          <w:szCs w:val="24"/>
        </w:rPr>
        <w:t>: “</w:t>
      </w:r>
      <w:r w:rsidRPr="005F22CF">
        <w:rPr>
          <w:rFonts w:ascii="Century Schoolbook" w:hAnsi="Century Schoolbook"/>
          <w:sz w:val="24"/>
          <w:szCs w:val="24"/>
        </w:rPr>
        <w:t xml:space="preserve">a plan that uses the safe harbor method of section 401(k)(12), </w:t>
      </w:r>
      <w:r w:rsidR="00BA64A1">
        <w:rPr>
          <w:rFonts w:ascii="Century Schoolbook" w:hAnsi="Century Schoolbook"/>
          <w:sz w:val="24"/>
          <w:szCs w:val="24"/>
        </w:rPr>
        <w:t>. . .</w:t>
      </w:r>
      <w:r w:rsidRPr="005F22CF">
        <w:rPr>
          <w:rFonts w:ascii="Century Schoolbook" w:hAnsi="Century Schoolbook"/>
          <w:sz w:val="24"/>
          <w:szCs w:val="24"/>
        </w:rPr>
        <w:t xml:space="preserve"> must specify whether the safe harbor contribution will be the nonelective safe harbor contribution or the matching safe harbor contribution and is not permitted to provide that ADP testing will be used if the requirements for the safe harbor are not satisfied.</w:t>
      </w:r>
      <w:r>
        <w:rPr>
          <w:rFonts w:ascii="Century Schoolbook" w:hAnsi="Century Schoolbook"/>
          <w:sz w:val="24"/>
          <w:szCs w:val="24"/>
        </w:rPr>
        <w:t>”</w:t>
      </w:r>
      <w:r w:rsidR="00BA64A1">
        <w:rPr>
          <w:rFonts w:ascii="Century Schoolbook" w:hAnsi="Century Schoolbook"/>
          <w:sz w:val="24"/>
          <w:szCs w:val="24"/>
        </w:rPr>
        <w:t xml:space="preserve">  The only way to convert to an ADP tested plan midyear, without terminating the plan, is to reduce or suspend the safe harbor contribution after giving the participants 30 days advance notice.  That procedure is unavailable after the year ends.</w:t>
      </w:r>
    </w:p>
    <w:p w:rsidR="008D30B6" w:rsidRPr="00EC19FD" w:rsidRDefault="008D30B6" w:rsidP="002C3512">
      <w:pPr>
        <w:jc w:val="both"/>
        <w:rPr>
          <w:rFonts w:ascii="Century Schoolbook" w:hAnsi="Century Schoolbook"/>
          <w:sz w:val="24"/>
          <w:szCs w:val="24"/>
        </w:rPr>
      </w:pPr>
    </w:p>
    <w:p w:rsidR="008D30B6" w:rsidRPr="00B63397" w:rsidRDefault="008D30B6"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Regarding 410(b)(c)(6) employees, if the plan terms exclude this group from participation in the plan, then the plan can pass all testing including 401(a)(4)?</w:t>
      </w:r>
    </w:p>
    <w:p w:rsidR="008D30B6" w:rsidRDefault="00BA64A1" w:rsidP="002C3512">
      <w:pPr>
        <w:jc w:val="both"/>
        <w:rPr>
          <w:rFonts w:ascii="Century Schoolbook" w:hAnsi="Century Schoolbook"/>
          <w:sz w:val="24"/>
          <w:szCs w:val="24"/>
        </w:rPr>
      </w:pPr>
      <w:r>
        <w:rPr>
          <w:rFonts w:ascii="Century Schoolbook" w:hAnsi="Century Schoolbook"/>
          <w:sz w:val="24"/>
          <w:szCs w:val="24"/>
        </w:rPr>
        <w:t xml:space="preserve">Not necessarily.  </w:t>
      </w:r>
      <w:r w:rsidR="00606E74">
        <w:rPr>
          <w:rFonts w:ascii="Century Schoolbook" w:hAnsi="Century Schoolbook"/>
          <w:sz w:val="24"/>
          <w:szCs w:val="24"/>
        </w:rPr>
        <w:t xml:space="preserve">It depends on the plan. As </w:t>
      </w:r>
      <w:hyperlink r:id="rId69" w:history="1">
        <w:r w:rsidR="00B12582">
          <w:rPr>
            <w:rStyle w:val="Hyperlink"/>
            <w:rFonts w:ascii="Century Schoolbook" w:hAnsi="Century Schoolbook"/>
            <w:color w:val="000000" w:themeColor="text1"/>
            <w:sz w:val="24"/>
            <w:szCs w:val="24"/>
          </w:rPr>
          <w:t xml:space="preserve">Q </w:t>
        </w:r>
        <w:r w:rsidR="00B12582">
          <w:rPr>
            <w:rStyle w:val="Hyperlink"/>
            <w:rFonts w:ascii="Century Schoolbook" w:hAnsi="Century Schoolbook"/>
            <w:color w:val="000000" w:themeColor="text1"/>
            <w:sz w:val="24"/>
            <w:szCs w:val="24"/>
          </w:rPr>
          <w:t>1</w:t>
        </w:r>
        <w:r w:rsidR="00B12582">
          <w:rPr>
            <w:rStyle w:val="Hyperlink"/>
            <w:rFonts w:ascii="Century Schoolbook" w:hAnsi="Century Schoolbook"/>
            <w:color w:val="000000" w:themeColor="text1"/>
            <w:sz w:val="24"/>
            <w:szCs w:val="24"/>
          </w:rPr>
          <w:t>1:5</w:t>
        </w:r>
      </w:hyperlink>
      <w:r w:rsidR="00606E74">
        <w:rPr>
          <w:rFonts w:ascii="Century Schoolbook" w:hAnsi="Century Schoolbook"/>
          <w:sz w:val="24"/>
          <w:szCs w:val="24"/>
        </w:rPr>
        <w:t xml:space="preserve"> points out:</w:t>
      </w:r>
    </w:p>
    <w:p w:rsidR="00606E74" w:rsidRPr="00B63397" w:rsidRDefault="00606E74" w:rsidP="002C3512">
      <w:pPr>
        <w:jc w:val="both"/>
        <w:rPr>
          <w:rFonts w:ascii="Century Schoolbook" w:hAnsi="Century Schoolbook"/>
          <w:color w:val="FF0000"/>
          <w:sz w:val="24"/>
          <w:szCs w:val="24"/>
        </w:rPr>
      </w:pPr>
      <w:r w:rsidRPr="00B63397">
        <w:rPr>
          <w:rFonts w:ascii="Century Schoolbook" w:hAnsi="Century Schoolbook"/>
          <w:color w:val="FF0000"/>
          <w:sz w:val="24"/>
          <w:szCs w:val="24"/>
        </w:rPr>
        <w:t xml:space="preserve">The </w:t>
      </w:r>
      <w:hyperlink r:id="rId70" w:history="1">
        <w:r w:rsidRPr="00B63397">
          <w:rPr>
            <w:rStyle w:val="Hyperlink"/>
            <w:rFonts w:ascii="Century Schoolbook" w:hAnsi="Century Schoolbook"/>
            <w:color w:val="FF0000"/>
            <w:sz w:val="24"/>
            <w:szCs w:val="24"/>
          </w:rPr>
          <w:t>Code §401(a)(4)</w:t>
        </w:r>
      </w:hyperlink>
      <w:r w:rsidRPr="00B63397">
        <w:rPr>
          <w:rFonts w:ascii="Century Schoolbook" w:hAnsi="Century Schoolbook"/>
          <w:color w:val="FF0000"/>
          <w:sz w:val="24"/>
          <w:szCs w:val="24"/>
        </w:rPr>
        <w:t xml:space="preserve"> regulations provide several safe harbors for nondiscrimination testing, most notably the uniform allocation safe harbor for defined contribution plans. A plan which satisfies the conditions of a safe harbor satisfies nondiscrimination automatically. </w:t>
      </w:r>
    </w:p>
    <w:p w:rsidR="00606E74" w:rsidRPr="00B63397" w:rsidRDefault="00606E74" w:rsidP="002C3512">
      <w:pPr>
        <w:jc w:val="both"/>
        <w:rPr>
          <w:rFonts w:ascii="Century Schoolbook" w:hAnsi="Century Schoolbook"/>
          <w:color w:val="FF0000"/>
          <w:sz w:val="24"/>
          <w:szCs w:val="24"/>
        </w:rPr>
      </w:pPr>
      <w:r w:rsidRPr="00B63397">
        <w:rPr>
          <w:rFonts w:ascii="Century Schoolbook" w:hAnsi="Century Schoolbook"/>
          <w:color w:val="FF0000"/>
          <w:sz w:val="24"/>
          <w:szCs w:val="24"/>
        </w:rPr>
        <w:t xml:space="preserve">For such a plan, the </w:t>
      </w:r>
      <w:hyperlink r:id="rId71" w:history="1">
        <w:r w:rsidRPr="00B63397">
          <w:rPr>
            <w:rStyle w:val="Hyperlink"/>
            <w:rFonts w:ascii="Century Schoolbook" w:hAnsi="Century Schoolbook"/>
            <w:color w:val="FF0000"/>
            <w:sz w:val="24"/>
            <w:szCs w:val="24"/>
          </w:rPr>
          <w:t>Code §410(b)(6)(C)</w:t>
        </w:r>
      </w:hyperlink>
      <w:r w:rsidRPr="00B63397">
        <w:rPr>
          <w:rFonts w:ascii="Century Schoolbook" w:hAnsi="Century Schoolbook"/>
          <w:color w:val="FF0000"/>
          <w:sz w:val="24"/>
          <w:szCs w:val="24"/>
        </w:rPr>
        <w:t xml:space="preserve"> free pass of coverage (combined with a nondiscriminatory definition of compensation [</w:t>
      </w:r>
      <w:hyperlink r:id="rId72" w:history="1">
        <w:r w:rsidRPr="00B63397">
          <w:rPr>
            <w:rStyle w:val="Hyperlink"/>
            <w:rFonts w:ascii="Century Schoolbook" w:hAnsi="Century Schoolbook"/>
            <w:color w:val="FF0000"/>
            <w:sz w:val="24"/>
            <w:szCs w:val="24"/>
          </w:rPr>
          <w:t>Q 2</w:t>
        </w:r>
        <w:r w:rsidRPr="00B63397">
          <w:rPr>
            <w:rStyle w:val="Hyperlink"/>
            <w:rFonts w:ascii="Century Schoolbook" w:hAnsi="Century Schoolbook"/>
            <w:color w:val="FF0000"/>
            <w:sz w:val="24"/>
            <w:szCs w:val="24"/>
          </w:rPr>
          <w:t>0</w:t>
        </w:r>
        <w:r w:rsidRPr="00B63397">
          <w:rPr>
            <w:rStyle w:val="Hyperlink"/>
            <w:rFonts w:ascii="Century Schoolbook" w:hAnsi="Century Schoolbook"/>
            <w:color w:val="FF0000"/>
            <w:sz w:val="24"/>
            <w:szCs w:val="24"/>
          </w:rPr>
          <w:t>:22</w:t>
        </w:r>
      </w:hyperlink>
      <w:r w:rsidRPr="00B63397">
        <w:rPr>
          <w:rFonts w:ascii="Century Schoolbook" w:hAnsi="Century Schoolbook"/>
          <w:color w:val="FF0000"/>
          <w:sz w:val="24"/>
          <w:szCs w:val="24"/>
        </w:rPr>
        <w:t>]) ensures that the plan is nondiscriminatory. [</w:t>
      </w:r>
      <w:hyperlink r:id="rId73" w:history="1">
        <w:r w:rsidRPr="00B63397">
          <w:rPr>
            <w:rStyle w:val="Hyperlink"/>
            <w:rFonts w:ascii="Century Schoolbook" w:hAnsi="Century Schoolbook"/>
            <w:color w:val="FF0000"/>
            <w:sz w:val="24"/>
            <w:szCs w:val="24"/>
          </w:rPr>
          <w:t>Rev. Rul. 2004-11</w:t>
        </w:r>
      </w:hyperlink>
      <w:r w:rsidRPr="00B63397">
        <w:rPr>
          <w:rFonts w:ascii="Century Schoolbook" w:hAnsi="Century Schoolbook"/>
          <w:color w:val="FF0000"/>
          <w:sz w:val="24"/>
          <w:szCs w:val="24"/>
        </w:rPr>
        <w:t>]</w:t>
      </w:r>
    </w:p>
    <w:p w:rsidR="00606E74" w:rsidRDefault="00606E74" w:rsidP="002C3512">
      <w:pPr>
        <w:jc w:val="both"/>
        <w:rPr>
          <w:rFonts w:ascii="Century Schoolbook" w:hAnsi="Century Schoolbook"/>
          <w:sz w:val="24"/>
          <w:szCs w:val="24"/>
        </w:rPr>
      </w:pPr>
      <w:r>
        <w:rPr>
          <w:rFonts w:ascii="Century Schoolbook" w:hAnsi="Century Schoolbook"/>
          <w:sz w:val="24"/>
          <w:szCs w:val="24"/>
        </w:rPr>
        <w:t xml:space="preserve">However, many plans do not use a nondiscrimination safe harbor and instead rely on the general test. As </w:t>
      </w:r>
      <w:hyperlink r:id="rId74" w:history="1">
        <w:r w:rsidR="00B12582">
          <w:rPr>
            <w:rStyle w:val="Hyperlink"/>
            <w:rFonts w:ascii="Century Schoolbook" w:hAnsi="Century Schoolbook"/>
            <w:color w:val="000000" w:themeColor="text1"/>
            <w:sz w:val="24"/>
            <w:szCs w:val="24"/>
          </w:rPr>
          <w:t>Q 11:7</w:t>
        </w:r>
      </w:hyperlink>
      <w:r>
        <w:rPr>
          <w:rFonts w:ascii="Century Schoolbook" w:hAnsi="Century Schoolbook"/>
          <w:sz w:val="24"/>
          <w:szCs w:val="24"/>
        </w:rPr>
        <w:t xml:space="preserve"> says:</w:t>
      </w:r>
    </w:p>
    <w:p w:rsidR="00606E74" w:rsidRPr="00B63397" w:rsidRDefault="00606E74" w:rsidP="002C3512">
      <w:pPr>
        <w:jc w:val="both"/>
        <w:rPr>
          <w:rFonts w:ascii="Century Schoolbook" w:hAnsi="Century Schoolbook"/>
          <w:color w:val="FF0000"/>
          <w:sz w:val="24"/>
          <w:szCs w:val="24"/>
        </w:rPr>
      </w:pPr>
      <w:r w:rsidRPr="00B63397">
        <w:rPr>
          <w:rFonts w:ascii="Century Schoolbook" w:hAnsi="Century Schoolbook"/>
          <w:color w:val="FF0000"/>
          <w:sz w:val="24"/>
          <w:szCs w:val="24"/>
        </w:rPr>
        <w:t xml:space="preserve">It is important to note that </w:t>
      </w:r>
      <w:hyperlink r:id="rId75" w:history="1">
        <w:r w:rsidRPr="00B63397">
          <w:rPr>
            <w:rStyle w:val="Hyperlink"/>
            <w:rFonts w:ascii="Century Schoolbook" w:hAnsi="Century Schoolbook"/>
            <w:color w:val="FF0000"/>
            <w:sz w:val="24"/>
            <w:szCs w:val="24"/>
          </w:rPr>
          <w:t>Code §410(b)(6)(C)</w:t>
        </w:r>
      </w:hyperlink>
      <w:r w:rsidRPr="00B63397">
        <w:rPr>
          <w:rFonts w:ascii="Century Schoolbook" w:hAnsi="Century Schoolbook"/>
          <w:color w:val="FF0000"/>
          <w:sz w:val="24"/>
          <w:szCs w:val="24"/>
        </w:rPr>
        <w:t xml:space="preserve"> only addresses coverage. It does not address nondiscrimination directly. There are three possible ways of viewing the situation, which we will discuss in the context of a cross-tested plan which satisfies nondiscrimination by reference to the general nondiscrimination test:</w:t>
      </w:r>
    </w:p>
    <w:p w:rsidR="00606E74" w:rsidRPr="00B63397" w:rsidRDefault="00606E74" w:rsidP="002C3512">
      <w:pPr>
        <w:numPr>
          <w:ilvl w:val="0"/>
          <w:numId w:val="8"/>
        </w:numPr>
        <w:jc w:val="both"/>
        <w:rPr>
          <w:rFonts w:ascii="Century Schoolbook" w:hAnsi="Century Schoolbook"/>
          <w:color w:val="FF0000"/>
          <w:sz w:val="24"/>
          <w:szCs w:val="24"/>
        </w:rPr>
      </w:pPr>
      <w:r w:rsidRPr="00B63397">
        <w:rPr>
          <w:rFonts w:ascii="Century Schoolbook" w:hAnsi="Century Schoolbook"/>
          <w:color w:val="FF0000"/>
          <w:sz w:val="24"/>
          <w:szCs w:val="24"/>
        </w:rPr>
        <w:t xml:space="preserve">At one extreme, unless the IRS provides relief, a cross-tested plan must consider all nonexcludable employees during the coverage transition period, even though the plan would have a free pass of the coverage requirements </w:t>
      </w:r>
      <w:r w:rsidRPr="00B63397">
        <w:rPr>
          <w:rFonts w:ascii="Century Schoolbook" w:hAnsi="Century Schoolbook"/>
          <w:color w:val="FF0000"/>
          <w:sz w:val="24"/>
          <w:szCs w:val="24"/>
        </w:rPr>
        <w:lastRenderedPageBreak/>
        <w:t>themselves. Each rate group would consider all nonexcludable employees of all related employers. A plan would perform the average benefit percentage test based on all employees and plans of all related employers. [</w:t>
      </w:r>
      <w:hyperlink r:id="rId76" w:history="1">
        <w:r w:rsidRPr="00B63397">
          <w:rPr>
            <w:rStyle w:val="Hyperlink"/>
            <w:rFonts w:ascii="Century Schoolbook" w:hAnsi="Century Schoolbook"/>
            <w:color w:val="FF0000"/>
            <w:sz w:val="24"/>
            <w:szCs w:val="24"/>
          </w:rPr>
          <w:t>Q 1</w:t>
        </w:r>
        <w:r w:rsidRPr="00B63397">
          <w:rPr>
            <w:rStyle w:val="Hyperlink"/>
            <w:rFonts w:ascii="Century Schoolbook" w:hAnsi="Century Schoolbook"/>
            <w:color w:val="FF0000"/>
            <w:sz w:val="24"/>
            <w:szCs w:val="24"/>
          </w:rPr>
          <w:t>0</w:t>
        </w:r>
        <w:r w:rsidRPr="00B63397">
          <w:rPr>
            <w:rStyle w:val="Hyperlink"/>
            <w:rFonts w:ascii="Century Schoolbook" w:hAnsi="Century Schoolbook"/>
            <w:color w:val="FF0000"/>
            <w:sz w:val="24"/>
            <w:szCs w:val="24"/>
          </w:rPr>
          <w:t>:</w:t>
        </w:r>
        <w:r w:rsidRPr="00B63397">
          <w:rPr>
            <w:rStyle w:val="Hyperlink"/>
            <w:rFonts w:ascii="Century Schoolbook" w:hAnsi="Century Schoolbook"/>
            <w:color w:val="FF0000"/>
            <w:sz w:val="24"/>
            <w:szCs w:val="24"/>
          </w:rPr>
          <w:t>18</w:t>
        </w:r>
      </w:hyperlink>
      <w:r w:rsidRPr="00B63397">
        <w:rPr>
          <w:rFonts w:ascii="Century Schoolbook" w:hAnsi="Century Schoolbook"/>
          <w:color w:val="FF0000"/>
          <w:sz w:val="24"/>
          <w:szCs w:val="24"/>
        </w:rPr>
        <w:t>]</w:t>
      </w:r>
    </w:p>
    <w:p w:rsidR="00606E74" w:rsidRPr="00B63397" w:rsidRDefault="00606E74" w:rsidP="002C3512">
      <w:pPr>
        <w:numPr>
          <w:ilvl w:val="0"/>
          <w:numId w:val="8"/>
        </w:numPr>
        <w:jc w:val="both"/>
        <w:rPr>
          <w:rFonts w:ascii="Century Schoolbook" w:hAnsi="Century Schoolbook"/>
          <w:color w:val="FF0000"/>
          <w:sz w:val="24"/>
          <w:szCs w:val="24"/>
        </w:rPr>
      </w:pPr>
      <w:r w:rsidRPr="00B63397">
        <w:rPr>
          <w:rFonts w:ascii="Century Schoolbook" w:hAnsi="Century Schoolbook"/>
          <w:color w:val="FF0000"/>
          <w:sz w:val="24"/>
          <w:szCs w:val="24"/>
        </w:rPr>
        <w:t xml:space="preserve">At the other extreme, a cross-tested plan automatically passes nondiscrimination. While one can make such an argument based on the regulations, realistically the only hope that the IRS would accept such an interpretation is to spike the coffee of all national office personnel with large doses of Prozac (a course I do not advocate). </w:t>
      </w:r>
    </w:p>
    <w:p w:rsidR="00606E74" w:rsidRPr="00B63397" w:rsidRDefault="00606E74" w:rsidP="002C3512">
      <w:pPr>
        <w:numPr>
          <w:ilvl w:val="0"/>
          <w:numId w:val="8"/>
        </w:numPr>
        <w:jc w:val="both"/>
        <w:rPr>
          <w:rFonts w:ascii="Century Schoolbook" w:hAnsi="Century Schoolbook"/>
          <w:color w:val="FF0000"/>
          <w:sz w:val="24"/>
          <w:szCs w:val="24"/>
        </w:rPr>
      </w:pPr>
      <w:r w:rsidRPr="00B63397">
        <w:rPr>
          <w:rFonts w:ascii="Century Schoolbook" w:hAnsi="Century Schoolbook"/>
          <w:color w:val="FF0000"/>
          <w:sz w:val="24"/>
          <w:szCs w:val="24"/>
        </w:rPr>
        <w:t xml:space="preserve">At the 2005 ASPPA Annual Conference, IRS representatives opined that a cross-tested plan should perform nondiscrimination testing during the coverage transition period as though the acquisition or other change had not occurred. For most cases, this seems like an eminently reasonable application of the rules. </w:t>
      </w:r>
    </w:p>
    <w:p w:rsidR="00BA64A1" w:rsidRPr="00EC19FD" w:rsidRDefault="00606E74" w:rsidP="002C3512">
      <w:pPr>
        <w:jc w:val="both"/>
        <w:rPr>
          <w:rFonts w:ascii="Century Schoolbook" w:hAnsi="Century Schoolbook"/>
          <w:sz w:val="24"/>
          <w:szCs w:val="24"/>
        </w:rPr>
      </w:pPr>
      <w:r>
        <w:rPr>
          <w:rFonts w:ascii="Century Schoolbook" w:hAnsi="Century Schoolbook"/>
          <w:sz w:val="24"/>
          <w:szCs w:val="24"/>
        </w:rPr>
        <w:t xml:space="preserve"> </w:t>
      </w:r>
    </w:p>
    <w:p w:rsidR="008D30B6" w:rsidRPr="00B63397" w:rsidRDefault="008D30B6"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Although we might be able to terminate the safe harbor plan mid-year, don't we still need to be concerned with the successor plan rules?</w:t>
      </w:r>
    </w:p>
    <w:p w:rsidR="008D30B6" w:rsidRDefault="00606E74" w:rsidP="002C3512">
      <w:pPr>
        <w:jc w:val="both"/>
        <w:rPr>
          <w:rFonts w:ascii="Century Schoolbook" w:hAnsi="Century Schoolbook"/>
          <w:sz w:val="24"/>
          <w:szCs w:val="24"/>
        </w:rPr>
      </w:pPr>
      <w:r>
        <w:rPr>
          <w:rFonts w:ascii="Century Schoolbook" w:hAnsi="Century Schoolbook"/>
          <w:sz w:val="24"/>
          <w:szCs w:val="24"/>
        </w:rPr>
        <w:t>Of course.</w:t>
      </w:r>
    </w:p>
    <w:p w:rsidR="00606E74" w:rsidRPr="00EC19FD" w:rsidRDefault="00606E74" w:rsidP="002C3512">
      <w:pPr>
        <w:jc w:val="both"/>
        <w:rPr>
          <w:rFonts w:ascii="Century Schoolbook" w:hAnsi="Century Schoolbook"/>
          <w:sz w:val="24"/>
          <w:szCs w:val="24"/>
        </w:rPr>
      </w:pPr>
    </w:p>
    <w:p w:rsidR="008D30B6" w:rsidRPr="00B63397" w:rsidRDefault="008D30B6"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If a controlled group of employers each sponsors a 401(k) plan covering only their employees utilizing the same testing method and they each pass coverage separately can they opt to aggregate testing for coverage and if they do so, can they aggregate coverage for ADP and ACP testing?  No employer elective contributions for any of the plans.</w:t>
      </w:r>
    </w:p>
    <w:p w:rsidR="00606E74" w:rsidRDefault="00AC6FDB" w:rsidP="002C3512">
      <w:pPr>
        <w:jc w:val="both"/>
        <w:rPr>
          <w:rFonts w:ascii="Century Schoolbook" w:hAnsi="Century Schoolbook"/>
          <w:sz w:val="24"/>
          <w:szCs w:val="24"/>
        </w:rPr>
      </w:pPr>
      <w:r>
        <w:rPr>
          <w:rFonts w:ascii="Century Schoolbook" w:hAnsi="Century Schoolbook"/>
          <w:sz w:val="24"/>
          <w:szCs w:val="24"/>
        </w:rPr>
        <w:t xml:space="preserve">WTE </w:t>
      </w:r>
      <w:hyperlink r:id="rId77" w:history="1">
        <w:r w:rsidR="00B12582">
          <w:rPr>
            <w:rStyle w:val="Hyperlink"/>
            <w:rFonts w:ascii="Century Schoolbook" w:hAnsi="Century Schoolbook"/>
            <w:color w:val="000000" w:themeColor="text1"/>
            <w:sz w:val="24"/>
            <w:szCs w:val="24"/>
          </w:rPr>
          <w:t>Chapter 22</w:t>
        </w:r>
      </w:hyperlink>
      <w:r>
        <w:rPr>
          <w:rFonts w:ascii="Century Schoolbook" w:hAnsi="Century Schoolbook"/>
          <w:sz w:val="24"/>
          <w:szCs w:val="24"/>
        </w:rPr>
        <w:t xml:space="preserve"> discusses plans and plan aggregation at length. Let me summarize some core principles. I will do so in the context of two related employers, A and B, each of which sponsors a current year ADP-tested 401(k) plan with a current year ACP-tested match. Each plan uses a calendar plan year. This analysis is for purposes of testing coverage and nondiscrimination.  </w:t>
      </w:r>
    </w:p>
    <w:p w:rsidR="00AC6FDB" w:rsidRDefault="00AC6FDB" w:rsidP="002C3512">
      <w:pPr>
        <w:pStyle w:val="ListParagraph"/>
        <w:numPr>
          <w:ilvl w:val="0"/>
          <w:numId w:val="9"/>
        </w:numPr>
        <w:jc w:val="both"/>
        <w:rPr>
          <w:rFonts w:ascii="Century Schoolbook" w:hAnsi="Century Schoolbook"/>
          <w:sz w:val="24"/>
          <w:szCs w:val="24"/>
        </w:rPr>
      </w:pPr>
      <w:r>
        <w:rPr>
          <w:rFonts w:ascii="Century Schoolbook" w:hAnsi="Century Schoolbook"/>
          <w:sz w:val="24"/>
          <w:szCs w:val="24"/>
        </w:rPr>
        <w:t>There are four plans for</w:t>
      </w:r>
      <w:r w:rsidR="007152EA">
        <w:rPr>
          <w:rFonts w:ascii="Century Schoolbook" w:hAnsi="Century Schoolbook"/>
          <w:sz w:val="24"/>
          <w:szCs w:val="24"/>
        </w:rPr>
        <w:t xml:space="preserve"> purposes of coverage:  A deferrals, A match</w:t>
      </w:r>
      <w:r>
        <w:rPr>
          <w:rFonts w:ascii="Century Schoolbook" w:hAnsi="Century Schoolbook"/>
          <w:sz w:val="24"/>
          <w:szCs w:val="24"/>
        </w:rPr>
        <w:t xml:space="preserve">, B </w:t>
      </w:r>
      <w:r w:rsidR="007152EA">
        <w:rPr>
          <w:rFonts w:ascii="Century Schoolbook" w:hAnsi="Century Schoolbook"/>
          <w:sz w:val="24"/>
          <w:szCs w:val="24"/>
        </w:rPr>
        <w:t>deferrals</w:t>
      </w:r>
      <w:r>
        <w:rPr>
          <w:rFonts w:ascii="Century Schoolbook" w:hAnsi="Century Schoolbook"/>
          <w:sz w:val="24"/>
          <w:szCs w:val="24"/>
        </w:rPr>
        <w:t xml:space="preserve">, and B </w:t>
      </w:r>
      <w:r w:rsidR="007152EA">
        <w:rPr>
          <w:rFonts w:ascii="Century Schoolbook" w:hAnsi="Century Schoolbook"/>
          <w:sz w:val="24"/>
          <w:szCs w:val="24"/>
        </w:rPr>
        <w:t>match</w:t>
      </w:r>
      <w:r>
        <w:rPr>
          <w:rFonts w:ascii="Century Schoolbook" w:hAnsi="Century Schoolbook"/>
          <w:sz w:val="24"/>
          <w:szCs w:val="24"/>
        </w:rPr>
        <w:t>.</w:t>
      </w:r>
    </w:p>
    <w:p w:rsidR="00AC6FDB" w:rsidRDefault="00AC6FDB" w:rsidP="002C3512">
      <w:pPr>
        <w:pStyle w:val="ListParagraph"/>
        <w:numPr>
          <w:ilvl w:val="0"/>
          <w:numId w:val="9"/>
        </w:numPr>
        <w:jc w:val="both"/>
        <w:rPr>
          <w:rFonts w:ascii="Century Schoolbook" w:hAnsi="Century Schoolbook"/>
          <w:sz w:val="24"/>
          <w:szCs w:val="24"/>
        </w:rPr>
      </w:pPr>
      <w:r>
        <w:rPr>
          <w:rFonts w:ascii="Century Schoolbook" w:hAnsi="Century Schoolbook"/>
          <w:sz w:val="24"/>
          <w:szCs w:val="24"/>
        </w:rPr>
        <w:t>The employer</w:t>
      </w:r>
      <w:r w:rsidR="007152EA">
        <w:rPr>
          <w:rFonts w:ascii="Century Schoolbook" w:hAnsi="Century Schoolbook"/>
          <w:sz w:val="24"/>
          <w:szCs w:val="24"/>
        </w:rPr>
        <w:t>s</w:t>
      </w:r>
      <w:r>
        <w:rPr>
          <w:rFonts w:ascii="Century Schoolbook" w:hAnsi="Century Schoolbook"/>
          <w:sz w:val="24"/>
          <w:szCs w:val="24"/>
        </w:rPr>
        <w:t xml:space="preserve"> can test the two </w:t>
      </w:r>
      <w:r w:rsidR="007152EA">
        <w:rPr>
          <w:rFonts w:ascii="Century Schoolbook" w:hAnsi="Century Schoolbook"/>
          <w:sz w:val="24"/>
          <w:szCs w:val="24"/>
        </w:rPr>
        <w:t>deferrals</w:t>
      </w:r>
      <w:r>
        <w:rPr>
          <w:rFonts w:ascii="Century Schoolbook" w:hAnsi="Century Schoolbook"/>
          <w:sz w:val="24"/>
          <w:szCs w:val="24"/>
        </w:rPr>
        <w:t xml:space="preserve"> plans separately or together (via permissive aggregation).  If they are aggregated, they are aggregated for both coverage and ADP. It is impossible to aggregate them for ADP and not aggregate them for coverage. The employer can aggregate them </w:t>
      </w:r>
      <w:r w:rsidR="007152EA">
        <w:rPr>
          <w:rFonts w:ascii="Century Schoolbook" w:hAnsi="Century Schoolbook"/>
          <w:sz w:val="24"/>
          <w:szCs w:val="24"/>
        </w:rPr>
        <w:t>even though the plans could pass coverage separately.</w:t>
      </w:r>
    </w:p>
    <w:p w:rsidR="007152EA" w:rsidRDefault="007152EA" w:rsidP="002C3512">
      <w:pPr>
        <w:pStyle w:val="ListParagraph"/>
        <w:numPr>
          <w:ilvl w:val="0"/>
          <w:numId w:val="9"/>
        </w:numPr>
        <w:jc w:val="both"/>
        <w:rPr>
          <w:rFonts w:ascii="Century Schoolbook" w:hAnsi="Century Schoolbook"/>
          <w:sz w:val="24"/>
          <w:szCs w:val="24"/>
        </w:rPr>
      </w:pPr>
      <w:r>
        <w:rPr>
          <w:rFonts w:ascii="Century Schoolbook" w:hAnsi="Century Schoolbook"/>
          <w:sz w:val="24"/>
          <w:szCs w:val="24"/>
        </w:rPr>
        <w:t xml:space="preserve">The employers have similar choices for the two match plans.  The choice for the match plans is independent of the choice for the deferral plans.  For </w:t>
      </w:r>
      <w:r>
        <w:rPr>
          <w:rFonts w:ascii="Century Schoolbook" w:hAnsi="Century Schoolbook"/>
          <w:sz w:val="24"/>
          <w:szCs w:val="24"/>
        </w:rPr>
        <w:lastRenderedPageBreak/>
        <w:t>example, the plans could be aggregated for deferrals and separate for match, or vice versa.</w:t>
      </w:r>
    </w:p>
    <w:p w:rsidR="00AC6FDB" w:rsidRPr="00AC6FDB" w:rsidRDefault="00AC6FDB" w:rsidP="002C3512">
      <w:pPr>
        <w:jc w:val="both"/>
        <w:rPr>
          <w:rFonts w:ascii="Century Schoolbook" w:hAnsi="Century Schoolbook"/>
          <w:sz w:val="24"/>
          <w:szCs w:val="24"/>
        </w:rPr>
      </w:pPr>
    </w:p>
    <w:p w:rsidR="00473EEB" w:rsidRPr="00B63397" w:rsidRDefault="003C1C03" w:rsidP="002C3512">
      <w:pPr>
        <w:pStyle w:val="ListParagraph"/>
        <w:numPr>
          <w:ilvl w:val="0"/>
          <w:numId w:val="1"/>
        </w:numPr>
        <w:jc w:val="both"/>
        <w:rPr>
          <w:rFonts w:ascii="Century Schoolbook" w:hAnsi="Century Schoolbook"/>
          <w:i/>
          <w:sz w:val="24"/>
          <w:szCs w:val="24"/>
        </w:rPr>
      </w:pPr>
      <w:r w:rsidRPr="00B63397">
        <w:rPr>
          <w:rFonts w:ascii="Century Schoolbook" w:hAnsi="Century Schoolbook"/>
          <w:i/>
          <w:sz w:val="24"/>
          <w:szCs w:val="24"/>
        </w:rPr>
        <w:t>Company A has a cross tested 401k plan and is purchased in an asset sale on November 16, 2017 by Company B that has another plan... and they have decided to merge the plans either in 2017 or 2018.  Is there any way for Company A to run its own separate testing for the ADP test and 401(a)(4) using just data from company A?</w:t>
      </w:r>
    </w:p>
    <w:p w:rsidR="007152EA" w:rsidRDefault="007152EA" w:rsidP="002C3512">
      <w:pPr>
        <w:jc w:val="both"/>
        <w:rPr>
          <w:rFonts w:ascii="Century Schoolbook" w:hAnsi="Century Schoolbook"/>
          <w:sz w:val="24"/>
          <w:szCs w:val="24"/>
        </w:rPr>
      </w:pPr>
      <w:r>
        <w:rPr>
          <w:rFonts w:ascii="Century Schoolbook" w:hAnsi="Century Schoolbook"/>
          <w:sz w:val="24"/>
          <w:szCs w:val="24"/>
        </w:rPr>
        <w:t>Yes.  In fact, with an asset sale, that is what I would expect up to the date the plans were merged.</w:t>
      </w:r>
    </w:p>
    <w:p w:rsidR="00CC184B" w:rsidRDefault="00CC184B" w:rsidP="002C3512">
      <w:pPr>
        <w:jc w:val="both"/>
        <w:rPr>
          <w:rFonts w:ascii="Century Schoolbook" w:hAnsi="Century Schoolbook"/>
          <w:sz w:val="24"/>
          <w:szCs w:val="24"/>
        </w:rPr>
      </w:pPr>
    </w:p>
    <w:p w:rsidR="00CC184B" w:rsidRDefault="00CC184B" w:rsidP="00CC184B">
      <w:pPr>
        <w:pStyle w:val="ListParagraph"/>
        <w:numPr>
          <w:ilvl w:val="0"/>
          <w:numId w:val="1"/>
        </w:numPr>
        <w:jc w:val="both"/>
        <w:rPr>
          <w:rFonts w:ascii="Century Schoolbook" w:hAnsi="Century Schoolbook"/>
          <w:i/>
          <w:sz w:val="24"/>
          <w:szCs w:val="24"/>
        </w:rPr>
      </w:pPr>
      <w:r w:rsidRPr="00204848">
        <w:rPr>
          <w:rFonts w:ascii="Century Schoolbook" w:hAnsi="Century Schoolbook"/>
          <w:i/>
          <w:sz w:val="24"/>
          <w:szCs w:val="24"/>
        </w:rPr>
        <w:t>Our client “A” set up a new employer “B” in Puerto Rico in April of 2017 with the exact ownership as “A”.  “A” has a calendar year 401(k) plan and “B” was going to set up their own plan under Puerto Rico laws using a local bank.  We had planned on using the coverage and non-discrimination free pass under this situation until January 1, 2019.  However, “A” and “B” sold 100% of their stock to a private equity firm (PEF) in October 2017.  The PEF owns 100% of several other corporations and continues to buy up more.  I don’t know if there is a special rule for PEF’s but I believe this would cause “A” and “B” to be part of a parent-subsidiary controlled group with PEF and the other companies owned by PEF.</w:t>
      </w:r>
    </w:p>
    <w:p w:rsidR="00971658" w:rsidRPr="00971658" w:rsidRDefault="00971658" w:rsidP="00971658">
      <w:pPr>
        <w:jc w:val="both"/>
        <w:rPr>
          <w:rFonts w:ascii="Century Schoolbook" w:hAnsi="Century Schoolbook"/>
          <w:sz w:val="24"/>
          <w:szCs w:val="24"/>
        </w:rPr>
      </w:pPr>
      <w:r>
        <w:rPr>
          <w:rFonts w:ascii="Century Schoolbook" w:hAnsi="Century Schoolbook"/>
          <w:sz w:val="24"/>
          <w:szCs w:val="24"/>
        </w:rPr>
        <w:t xml:space="preserve">Assuming PEF is unincorporated, there is debate over whether PEF would be a trade or business subject to </w:t>
      </w:r>
      <w:hyperlink r:id="rId78" w:history="1">
        <w:r w:rsidR="00E25BD9">
          <w:rPr>
            <w:rStyle w:val="Hyperlink"/>
            <w:rFonts w:ascii="Century Schoolbook" w:hAnsi="Century Schoolbook"/>
            <w:color w:val="000000" w:themeColor="text1"/>
            <w:sz w:val="24"/>
            <w:szCs w:val="24"/>
          </w:rPr>
          <w:t>Code §414(c)</w:t>
        </w:r>
      </w:hyperlink>
      <w:r>
        <w:rPr>
          <w:rFonts w:ascii="Century Schoolbook" w:hAnsi="Century Schoolbook"/>
          <w:sz w:val="24"/>
          <w:szCs w:val="24"/>
        </w:rPr>
        <w:t xml:space="preserve"> common control rules.  That is an issue that should be resolved by counsel.  But there is no question that A and B would be in a controlled group/group under common control with the other 80% or more subsidiaries of PEF.</w:t>
      </w:r>
    </w:p>
    <w:p w:rsidR="00CC184B" w:rsidRDefault="00CC184B" w:rsidP="00CC184B">
      <w:pPr>
        <w:pStyle w:val="ListParagraph"/>
        <w:numPr>
          <w:ilvl w:val="0"/>
          <w:numId w:val="10"/>
        </w:numPr>
        <w:jc w:val="both"/>
        <w:rPr>
          <w:rFonts w:ascii="Century Schoolbook" w:hAnsi="Century Schoolbook"/>
          <w:i/>
          <w:sz w:val="24"/>
          <w:szCs w:val="24"/>
        </w:rPr>
      </w:pPr>
      <w:r w:rsidRPr="00204848">
        <w:rPr>
          <w:rFonts w:ascii="Century Schoolbook" w:hAnsi="Century Schoolbook"/>
          <w:i/>
          <w:sz w:val="24"/>
          <w:szCs w:val="24"/>
        </w:rPr>
        <w:t>Does this sale to the PEF tank the free pass period for “A” and “B”?  It would not really be a big deal since “A” has a year of service requirement but I would like clarification.</w:t>
      </w:r>
    </w:p>
    <w:p w:rsidR="00971658" w:rsidRPr="00971658" w:rsidRDefault="00971658" w:rsidP="00971658">
      <w:pPr>
        <w:jc w:val="both"/>
        <w:rPr>
          <w:rFonts w:ascii="Century Schoolbook" w:hAnsi="Century Schoolbook"/>
          <w:sz w:val="24"/>
          <w:szCs w:val="24"/>
        </w:rPr>
      </w:pPr>
      <w:r>
        <w:rPr>
          <w:rFonts w:ascii="Century Schoolbook" w:hAnsi="Century Schoolbook"/>
          <w:sz w:val="24"/>
          <w:szCs w:val="24"/>
        </w:rPr>
        <w:t>It does not kill the free pass.</w:t>
      </w:r>
    </w:p>
    <w:p w:rsidR="00CC184B" w:rsidRDefault="00CC184B" w:rsidP="00CC184B">
      <w:pPr>
        <w:pStyle w:val="ListParagraph"/>
        <w:numPr>
          <w:ilvl w:val="0"/>
          <w:numId w:val="10"/>
        </w:numPr>
        <w:jc w:val="both"/>
        <w:rPr>
          <w:rFonts w:ascii="Century Schoolbook" w:hAnsi="Century Schoolbook"/>
          <w:i/>
          <w:sz w:val="24"/>
          <w:szCs w:val="24"/>
        </w:rPr>
      </w:pPr>
      <w:r w:rsidRPr="00204848">
        <w:rPr>
          <w:rFonts w:ascii="Century Schoolbook" w:hAnsi="Century Schoolbook"/>
          <w:i/>
          <w:sz w:val="24"/>
          <w:szCs w:val="24"/>
        </w:rPr>
        <w:t xml:space="preserve">When will “A” have to consider the other entities owned by the PEF? </w:t>
      </w:r>
    </w:p>
    <w:p w:rsidR="00971658" w:rsidRPr="00971658" w:rsidRDefault="00971658" w:rsidP="00971658">
      <w:pPr>
        <w:jc w:val="both"/>
        <w:rPr>
          <w:rFonts w:ascii="Century Schoolbook" w:hAnsi="Century Schoolbook"/>
          <w:sz w:val="24"/>
          <w:szCs w:val="24"/>
        </w:rPr>
      </w:pPr>
      <w:r>
        <w:rPr>
          <w:rFonts w:ascii="Century Schoolbook" w:hAnsi="Century Schoolbook"/>
          <w:sz w:val="24"/>
          <w:szCs w:val="24"/>
        </w:rPr>
        <w:t>For coverage purposes, the transition rule will protect it through the end of 2018.  For 415 purposes, on the other hand, the change is immediate.  For example suppose there is a PEF subsidiary C, and Chris participates in the A plan and the C plan, both of which are defined contribution plans.  Beginning on the date of the acquisition, Chris has a single 415 limit between the two plans.</w:t>
      </w:r>
    </w:p>
    <w:p w:rsidR="00CC184B" w:rsidRDefault="00CC184B" w:rsidP="00CC184B">
      <w:pPr>
        <w:pStyle w:val="ListParagraph"/>
        <w:numPr>
          <w:ilvl w:val="0"/>
          <w:numId w:val="10"/>
        </w:numPr>
        <w:jc w:val="both"/>
        <w:rPr>
          <w:rFonts w:ascii="Century Schoolbook" w:hAnsi="Century Schoolbook"/>
          <w:i/>
          <w:sz w:val="24"/>
          <w:szCs w:val="24"/>
        </w:rPr>
      </w:pPr>
      <w:r w:rsidRPr="00204848">
        <w:rPr>
          <w:rFonts w:ascii="Century Schoolbook" w:hAnsi="Century Schoolbook"/>
          <w:i/>
          <w:sz w:val="24"/>
          <w:szCs w:val="24"/>
        </w:rPr>
        <w:lastRenderedPageBreak/>
        <w:t>Will “A” have to consider other entities purchased after October 2017 or does the “free pass” for the newly purchased entities work both ways?</w:t>
      </w:r>
    </w:p>
    <w:p w:rsidR="00971658" w:rsidRPr="00971658" w:rsidRDefault="00971658" w:rsidP="00971658">
      <w:pPr>
        <w:jc w:val="both"/>
        <w:rPr>
          <w:rFonts w:ascii="Century Schoolbook" w:hAnsi="Century Schoolbook"/>
          <w:sz w:val="24"/>
          <w:szCs w:val="24"/>
        </w:rPr>
      </w:pPr>
      <w:r>
        <w:rPr>
          <w:rFonts w:ascii="Century Schoolbook" w:hAnsi="Century Schoolbook"/>
          <w:sz w:val="24"/>
          <w:szCs w:val="24"/>
        </w:rPr>
        <w:t>It works for each plan in effect at the time of the transaction.  A has a free pass through December 31, 2019, unless there is a significant change in coverage or benefits.</w:t>
      </w:r>
    </w:p>
    <w:p w:rsidR="00CC184B" w:rsidRDefault="00CC184B" w:rsidP="00CC184B">
      <w:pPr>
        <w:pStyle w:val="ListParagraph"/>
        <w:numPr>
          <w:ilvl w:val="0"/>
          <w:numId w:val="10"/>
        </w:numPr>
        <w:jc w:val="both"/>
        <w:rPr>
          <w:rFonts w:ascii="Century Schoolbook" w:hAnsi="Century Schoolbook"/>
          <w:i/>
          <w:sz w:val="24"/>
          <w:szCs w:val="24"/>
        </w:rPr>
      </w:pPr>
      <w:r w:rsidRPr="00204848">
        <w:rPr>
          <w:rFonts w:ascii="Century Schoolbook" w:hAnsi="Century Schoolbook"/>
          <w:i/>
          <w:sz w:val="24"/>
          <w:szCs w:val="24"/>
        </w:rPr>
        <w:t>According to our client who is still part of the management team at “A” and “B”, these other companies owned by the PEF also have their own individual qualified retirement plans.</w:t>
      </w:r>
    </w:p>
    <w:p w:rsidR="00971658" w:rsidRDefault="00971658" w:rsidP="00971658">
      <w:pPr>
        <w:jc w:val="both"/>
        <w:rPr>
          <w:rFonts w:ascii="Century Schoolbook" w:hAnsi="Century Schoolbook"/>
          <w:sz w:val="24"/>
          <w:szCs w:val="24"/>
        </w:rPr>
      </w:pPr>
      <w:r>
        <w:rPr>
          <w:rFonts w:ascii="Century Schoolbook" w:hAnsi="Century Schoolbook"/>
          <w:sz w:val="24"/>
          <w:szCs w:val="24"/>
        </w:rPr>
        <w:t xml:space="preserve">Those plans may also be in a coverage transition rule status.  However, </w:t>
      </w:r>
      <w:hyperlink r:id="rId79" w:history="1">
        <w:r w:rsidR="00B12582">
          <w:rPr>
            <w:rStyle w:val="Hyperlink"/>
            <w:rFonts w:ascii="Century Schoolbook" w:hAnsi="Century Schoolbook"/>
            <w:color w:val="000000" w:themeColor="text1"/>
            <w:sz w:val="24"/>
            <w:szCs w:val="24"/>
          </w:rPr>
          <w:t>Q 11:1</w:t>
        </w:r>
      </w:hyperlink>
      <w:r w:rsidR="009F10DD">
        <w:rPr>
          <w:rFonts w:ascii="Century Schoolbook" w:hAnsi="Century Schoolbook"/>
          <w:sz w:val="24"/>
          <w:szCs w:val="24"/>
        </w:rPr>
        <w:t xml:space="preserve">Q </w:t>
      </w:r>
      <w:r>
        <w:rPr>
          <w:rFonts w:ascii="Century Schoolbook" w:hAnsi="Century Schoolbook"/>
          <w:sz w:val="24"/>
          <w:szCs w:val="24"/>
        </w:rPr>
        <w:t>notes:</w:t>
      </w:r>
    </w:p>
    <w:p w:rsidR="00971658" w:rsidRPr="00971658" w:rsidRDefault="00971658" w:rsidP="00971658">
      <w:pPr>
        <w:jc w:val="both"/>
        <w:rPr>
          <w:rFonts w:ascii="Century Schoolbook" w:hAnsi="Century Schoolbook"/>
          <w:color w:val="FF0000"/>
          <w:sz w:val="24"/>
          <w:szCs w:val="24"/>
        </w:rPr>
      </w:pPr>
      <w:r w:rsidRPr="00971658">
        <w:rPr>
          <w:rFonts w:ascii="Century Schoolbook" w:hAnsi="Century Schoolbook"/>
          <w:color w:val="FF0000"/>
          <w:sz w:val="24"/>
          <w:szCs w:val="24"/>
        </w:rPr>
        <w:t xml:space="preserve">In determining whether a plan satisfies the coverage requirements before the change in group membership, the plan must satisfy those requirements without regard to the free pass of </w:t>
      </w:r>
      <w:hyperlink r:id="rId80" w:history="1">
        <w:r w:rsidRPr="00971658">
          <w:rPr>
            <w:rStyle w:val="Hyperlink"/>
            <w:rFonts w:ascii="Century Schoolbook" w:hAnsi="Century Schoolbook"/>
            <w:color w:val="FF0000"/>
            <w:sz w:val="24"/>
            <w:szCs w:val="24"/>
          </w:rPr>
          <w:t>Code §410(b)(6)(C)</w:t>
        </w:r>
      </w:hyperlink>
      <w:r w:rsidRPr="00971658">
        <w:rPr>
          <w:rFonts w:ascii="Century Schoolbook" w:hAnsi="Century Schoolbook"/>
          <w:color w:val="FF0000"/>
          <w:sz w:val="24"/>
          <w:szCs w:val="24"/>
        </w:rPr>
        <w:t>. In other words, you cannot “tack” transition periods ad infinitum to avoid all coverage testing. [</w:t>
      </w:r>
      <w:hyperlink r:id="rId81" w:history="1">
        <w:r w:rsidRPr="00971658">
          <w:rPr>
            <w:rStyle w:val="Hyperlink"/>
            <w:rFonts w:ascii="Century Schoolbook" w:hAnsi="Century Schoolbook"/>
            <w:color w:val="FF0000"/>
            <w:sz w:val="24"/>
            <w:szCs w:val="24"/>
          </w:rPr>
          <w:t>Treas. Reg. §1.410(b)-2(f)</w:t>
        </w:r>
      </w:hyperlink>
      <w:r w:rsidRPr="00971658">
        <w:rPr>
          <w:rFonts w:ascii="Century Schoolbook" w:hAnsi="Century Schoolbook"/>
          <w:color w:val="FF0000"/>
          <w:sz w:val="24"/>
          <w:szCs w:val="24"/>
        </w:rPr>
        <w:t>]</w:t>
      </w:r>
    </w:p>
    <w:p w:rsidR="00971658" w:rsidRPr="00971658" w:rsidRDefault="00971658" w:rsidP="00971658">
      <w:pPr>
        <w:jc w:val="both"/>
        <w:rPr>
          <w:rFonts w:ascii="Century Schoolbook" w:hAnsi="Century Schoolbook"/>
          <w:sz w:val="24"/>
          <w:szCs w:val="24"/>
        </w:rPr>
      </w:pPr>
      <w:r w:rsidRPr="00971658">
        <w:rPr>
          <w:rFonts w:ascii="Century Schoolbook" w:hAnsi="Century Schoolbook"/>
          <w:b/>
          <w:bCs/>
          <w:color w:val="FF0000"/>
          <w:sz w:val="24"/>
          <w:szCs w:val="24"/>
        </w:rPr>
        <w:t>Example 11.1.6</w:t>
      </w:r>
      <w:r w:rsidRPr="00971658">
        <w:rPr>
          <w:rFonts w:ascii="Century Schoolbook" w:hAnsi="Century Schoolbook"/>
          <w:color w:val="FF0000"/>
          <w:sz w:val="24"/>
          <w:szCs w:val="24"/>
        </w:rPr>
        <w:t xml:space="preserve"> Fickle Co. in 2020 is not a part of a controlled group. It maintains a calendar year defined plan covering only workers at Fickle Co. May 3, 2021, it becomes part of a controlled group with Suitor Corp. It relies on the free pass of </w:t>
      </w:r>
      <w:hyperlink r:id="rId82" w:history="1">
        <w:r w:rsidRPr="00971658">
          <w:rPr>
            <w:rStyle w:val="Hyperlink"/>
            <w:rFonts w:ascii="Century Schoolbook" w:hAnsi="Century Schoolbook"/>
            <w:color w:val="FF0000"/>
            <w:sz w:val="24"/>
            <w:szCs w:val="24"/>
          </w:rPr>
          <w:t>Code §410(b)(6)(C)</w:t>
        </w:r>
      </w:hyperlink>
      <w:r w:rsidRPr="00971658">
        <w:rPr>
          <w:rFonts w:ascii="Century Schoolbook" w:hAnsi="Century Schoolbook"/>
          <w:color w:val="FF0000"/>
          <w:sz w:val="24"/>
          <w:szCs w:val="24"/>
        </w:rPr>
        <w:t xml:space="preserve"> to satisfy coverage requirements. August 10, 2022, vulture.net buys all the stock of Fickle from Suitor and Fickle thereby joins a new controlled group. Fickle’s plan can continue to rely on its 2021 free pass until December 31, 2022. However, if it wants a new free pass, expiring December 31, 2023 (based on the transaction with vulture.net) it must demonstrate that it actually met the </w:t>
      </w:r>
      <w:hyperlink r:id="rId83" w:history="1">
        <w:r w:rsidRPr="00971658">
          <w:rPr>
            <w:rStyle w:val="Hyperlink"/>
            <w:rFonts w:ascii="Century Schoolbook" w:hAnsi="Century Schoolbook"/>
            <w:color w:val="FF0000"/>
            <w:sz w:val="24"/>
            <w:szCs w:val="24"/>
          </w:rPr>
          <w:t>Code §410(b)</w:t>
        </w:r>
      </w:hyperlink>
      <w:r w:rsidRPr="00971658">
        <w:rPr>
          <w:rFonts w:ascii="Century Schoolbook" w:hAnsi="Century Schoolbook"/>
          <w:color w:val="FF0000"/>
          <w:sz w:val="24"/>
          <w:szCs w:val="24"/>
        </w:rPr>
        <w:t xml:space="preserve"> and </w:t>
      </w:r>
      <w:hyperlink r:id="rId84" w:history="1">
        <w:r w:rsidRPr="00971658">
          <w:rPr>
            <w:rStyle w:val="Hyperlink"/>
            <w:rFonts w:ascii="Century Schoolbook" w:hAnsi="Century Schoolbook"/>
            <w:color w:val="FF0000"/>
            <w:sz w:val="24"/>
            <w:szCs w:val="24"/>
          </w:rPr>
          <w:t>Code §401(a)(26)</w:t>
        </w:r>
      </w:hyperlink>
      <w:r w:rsidRPr="00971658">
        <w:rPr>
          <w:rFonts w:ascii="Century Schoolbook" w:hAnsi="Century Schoolbook"/>
          <w:color w:val="FF0000"/>
          <w:sz w:val="24"/>
          <w:szCs w:val="24"/>
        </w:rPr>
        <w:t xml:space="preserve"> requirements on August 10, 2022, the date of the vulture.net transaction. It cannot rely on the free pass of </w:t>
      </w:r>
      <w:hyperlink r:id="rId85" w:history="1">
        <w:r w:rsidRPr="00971658">
          <w:rPr>
            <w:rStyle w:val="Hyperlink"/>
            <w:rFonts w:ascii="Century Schoolbook" w:hAnsi="Century Schoolbook"/>
            <w:color w:val="FF0000"/>
            <w:sz w:val="24"/>
            <w:szCs w:val="24"/>
          </w:rPr>
          <w:t>Code §410(b)(6)(C)</w:t>
        </w:r>
      </w:hyperlink>
      <w:r w:rsidRPr="00971658">
        <w:rPr>
          <w:rFonts w:ascii="Century Schoolbook" w:hAnsi="Century Schoolbook"/>
          <w:color w:val="FF0000"/>
          <w:sz w:val="24"/>
          <w:szCs w:val="24"/>
        </w:rPr>
        <w:t xml:space="preserve"> in showing that it met those requirements on August 10, 2022.</w:t>
      </w:r>
      <w:r>
        <w:rPr>
          <w:rFonts w:ascii="Century Schoolbook" w:hAnsi="Century Schoolbook"/>
          <w:sz w:val="24"/>
          <w:szCs w:val="24"/>
        </w:rPr>
        <w:t xml:space="preserve"> </w:t>
      </w:r>
    </w:p>
    <w:p w:rsidR="00CC184B" w:rsidRDefault="00CC184B" w:rsidP="00CC184B">
      <w:pPr>
        <w:pStyle w:val="ListParagraph"/>
        <w:numPr>
          <w:ilvl w:val="0"/>
          <w:numId w:val="10"/>
        </w:numPr>
        <w:jc w:val="both"/>
        <w:rPr>
          <w:rFonts w:ascii="Century Schoolbook" w:hAnsi="Century Schoolbook"/>
          <w:i/>
          <w:sz w:val="24"/>
          <w:szCs w:val="24"/>
        </w:rPr>
      </w:pPr>
      <w:r w:rsidRPr="00204848">
        <w:rPr>
          <w:rFonts w:ascii="Century Schoolbook" w:hAnsi="Century Schoolbook"/>
          <w:i/>
          <w:sz w:val="24"/>
          <w:szCs w:val="24"/>
        </w:rPr>
        <w:t>Whose responsibility is it to keep all of this straight and how does anyway gather all of the information needed?</w:t>
      </w:r>
    </w:p>
    <w:p w:rsidR="00861005" w:rsidRPr="00861005" w:rsidRDefault="00861005" w:rsidP="00861005">
      <w:pPr>
        <w:jc w:val="both"/>
        <w:rPr>
          <w:rFonts w:ascii="Century Schoolbook" w:hAnsi="Century Schoolbook"/>
          <w:sz w:val="24"/>
          <w:szCs w:val="24"/>
        </w:rPr>
      </w:pPr>
      <w:r>
        <w:rPr>
          <w:rFonts w:ascii="Century Schoolbook" w:hAnsi="Century Schoolbook"/>
          <w:sz w:val="24"/>
          <w:szCs w:val="24"/>
        </w:rPr>
        <w:t>Ideally, PEF would be on top of this, but you cannot assume that. Ultimately, it is the responsibility of the plan sponsor. As for your responsibility, check your service agreement.</w:t>
      </w:r>
    </w:p>
    <w:sectPr w:rsidR="00861005" w:rsidRPr="0086100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85C" w:rsidRDefault="00F3385C" w:rsidP="000701E0">
      <w:pPr>
        <w:spacing w:after="0" w:line="240" w:lineRule="auto"/>
      </w:pPr>
      <w:r>
        <w:separator/>
      </w:r>
    </w:p>
  </w:endnote>
  <w:endnote w:type="continuationSeparator" w:id="0">
    <w:p w:rsidR="00F3385C" w:rsidRDefault="00F3385C" w:rsidP="0007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53549"/>
      <w:docPartObj>
        <w:docPartGallery w:val="Page Numbers (Bottom of Page)"/>
        <w:docPartUnique/>
      </w:docPartObj>
    </w:sdtPr>
    <w:sdtEndPr>
      <w:rPr>
        <w:noProof/>
      </w:rPr>
    </w:sdtEndPr>
    <w:sdtContent>
      <w:p w:rsidR="00971658" w:rsidRDefault="00971658">
        <w:pPr>
          <w:pStyle w:val="Footer"/>
          <w:jc w:val="center"/>
        </w:pPr>
        <w:r>
          <w:fldChar w:fldCharType="begin"/>
        </w:r>
        <w:r>
          <w:instrText xml:space="preserve"> PAGE   \* MERGEFORMAT </w:instrText>
        </w:r>
        <w:r>
          <w:fldChar w:fldCharType="separate"/>
        </w:r>
        <w:r w:rsidR="00C76CA6">
          <w:rPr>
            <w:noProof/>
          </w:rPr>
          <w:t>1</w:t>
        </w:r>
        <w:r>
          <w:rPr>
            <w:noProof/>
          </w:rPr>
          <w:fldChar w:fldCharType="end"/>
        </w:r>
      </w:p>
    </w:sdtContent>
  </w:sdt>
  <w:p w:rsidR="00971658" w:rsidRDefault="0097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85C" w:rsidRDefault="00F3385C" w:rsidP="000701E0">
      <w:pPr>
        <w:spacing w:after="0" w:line="240" w:lineRule="auto"/>
      </w:pPr>
      <w:r>
        <w:separator/>
      </w:r>
    </w:p>
  </w:footnote>
  <w:footnote w:type="continuationSeparator" w:id="0">
    <w:p w:rsidR="00F3385C" w:rsidRDefault="00F3385C" w:rsidP="00070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39BD"/>
    <w:multiLevelType w:val="multilevel"/>
    <w:tmpl w:val="826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726D0"/>
    <w:multiLevelType w:val="hybridMultilevel"/>
    <w:tmpl w:val="49E2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02B63"/>
    <w:multiLevelType w:val="multilevel"/>
    <w:tmpl w:val="58DC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60E9B"/>
    <w:multiLevelType w:val="hybridMultilevel"/>
    <w:tmpl w:val="050C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109E4"/>
    <w:multiLevelType w:val="hybridMultilevel"/>
    <w:tmpl w:val="5F34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04F1D"/>
    <w:multiLevelType w:val="hybridMultilevel"/>
    <w:tmpl w:val="8C60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94B0C"/>
    <w:multiLevelType w:val="hybridMultilevel"/>
    <w:tmpl w:val="7212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36ED9"/>
    <w:multiLevelType w:val="hybridMultilevel"/>
    <w:tmpl w:val="9974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233FF"/>
    <w:multiLevelType w:val="multilevel"/>
    <w:tmpl w:val="04103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77A42"/>
    <w:multiLevelType w:val="hybridMultilevel"/>
    <w:tmpl w:val="1C38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4"/>
  </w:num>
  <w:num w:numId="6">
    <w:abstractNumId w:val="7"/>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EB"/>
    <w:rsid w:val="00003A06"/>
    <w:rsid w:val="00017ED3"/>
    <w:rsid w:val="00022DD5"/>
    <w:rsid w:val="000252C0"/>
    <w:rsid w:val="0006286E"/>
    <w:rsid w:val="000701E0"/>
    <w:rsid w:val="00075114"/>
    <w:rsid w:val="00082A88"/>
    <w:rsid w:val="000C33F8"/>
    <w:rsid w:val="000E2763"/>
    <w:rsid w:val="000E69B5"/>
    <w:rsid w:val="00125B9A"/>
    <w:rsid w:val="001561F3"/>
    <w:rsid w:val="0016069B"/>
    <w:rsid w:val="00164174"/>
    <w:rsid w:val="001A5BEC"/>
    <w:rsid w:val="00204848"/>
    <w:rsid w:val="00206EA7"/>
    <w:rsid w:val="00215FEB"/>
    <w:rsid w:val="0023675E"/>
    <w:rsid w:val="002C3512"/>
    <w:rsid w:val="002E664A"/>
    <w:rsid w:val="002F144E"/>
    <w:rsid w:val="0033383F"/>
    <w:rsid w:val="00347F4C"/>
    <w:rsid w:val="00351918"/>
    <w:rsid w:val="0036466B"/>
    <w:rsid w:val="003B1B07"/>
    <w:rsid w:val="003C1C03"/>
    <w:rsid w:val="003D1691"/>
    <w:rsid w:val="00473EEB"/>
    <w:rsid w:val="004D1829"/>
    <w:rsid w:val="004E30E4"/>
    <w:rsid w:val="00551B44"/>
    <w:rsid w:val="0056382C"/>
    <w:rsid w:val="005662F5"/>
    <w:rsid w:val="0059522E"/>
    <w:rsid w:val="005A49CE"/>
    <w:rsid w:val="005D7B11"/>
    <w:rsid w:val="005F22CF"/>
    <w:rsid w:val="00606E74"/>
    <w:rsid w:val="0066621D"/>
    <w:rsid w:val="006C2346"/>
    <w:rsid w:val="006E0F5E"/>
    <w:rsid w:val="006F168F"/>
    <w:rsid w:val="00701C5A"/>
    <w:rsid w:val="007152EA"/>
    <w:rsid w:val="00723024"/>
    <w:rsid w:val="00723077"/>
    <w:rsid w:val="007754E0"/>
    <w:rsid w:val="0079421C"/>
    <w:rsid w:val="007D3504"/>
    <w:rsid w:val="007E3332"/>
    <w:rsid w:val="008303D4"/>
    <w:rsid w:val="00833D4E"/>
    <w:rsid w:val="00861005"/>
    <w:rsid w:val="008B30B5"/>
    <w:rsid w:val="008D30B6"/>
    <w:rsid w:val="008E2A68"/>
    <w:rsid w:val="009578A3"/>
    <w:rsid w:val="00971658"/>
    <w:rsid w:val="0097683A"/>
    <w:rsid w:val="009C00B4"/>
    <w:rsid w:val="009C51D3"/>
    <w:rsid w:val="009F10DD"/>
    <w:rsid w:val="009F4245"/>
    <w:rsid w:val="00A133CA"/>
    <w:rsid w:val="00A24ED0"/>
    <w:rsid w:val="00A51FC6"/>
    <w:rsid w:val="00AB3F4A"/>
    <w:rsid w:val="00AC41CA"/>
    <w:rsid w:val="00AC6FDB"/>
    <w:rsid w:val="00AD765E"/>
    <w:rsid w:val="00AF0A34"/>
    <w:rsid w:val="00B04E27"/>
    <w:rsid w:val="00B12224"/>
    <w:rsid w:val="00B12582"/>
    <w:rsid w:val="00B17A26"/>
    <w:rsid w:val="00B17DF7"/>
    <w:rsid w:val="00B57EC1"/>
    <w:rsid w:val="00B63397"/>
    <w:rsid w:val="00B665E2"/>
    <w:rsid w:val="00B94E2A"/>
    <w:rsid w:val="00BA64A1"/>
    <w:rsid w:val="00C005B6"/>
    <w:rsid w:val="00C15FE2"/>
    <w:rsid w:val="00C76CA6"/>
    <w:rsid w:val="00C82CC2"/>
    <w:rsid w:val="00CA175B"/>
    <w:rsid w:val="00CC184B"/>
    <w:rsid w:val="00CC5E9C"/>
    <w:rsid w:val="00CC6E3A"/>
    <w:rsid w:val="00CD546B"/>
    <w:rsid w:val="00CE2CC2"/>
    <w:rsid w:val="00D20F64"/>
    <w:rsid w:val="00D43C8A"/>
    <w:rsid w:val="00D5353C"/>
    <w:rsid w:val="00DD68C2"/>
    <w:rsid w:val="00DF2859"/>
    <w:rsid w:val="00E24AC6"/>
    <w:rsid w:val="00E25BD9"/>
    <w:rsid w:val="00E36C42"/>
    <w:rsid w:val="00E43664"/>
    <w:rsid w:val="00E50B85"/>
    <w:rsid w:val="00E67F96"/>
    <w:rsid w:val="00EC19FD"/>
    <w:rsid w:val="00EE1BDB"/>
    <w:rsid w:val="00EE72A9"/>
    <w:rsid w:val="00F3385C"/>
    <w:rsid w:val="00F430D0"/>
    <w:rsid w:val="00F775B3"/>
    <w:rsid w:val="00FF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94C7"/>
  <w15:chartTrackingRefBased/>
  <w15:docId w15:val="{D792A475-7890-404B-9560-3136C24F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E2"/>
    <w:pPr>
      <w:ind w:left="720"/>
      <w:contextualSpacing/>
    </w:pPr>
  </w:style>
  <w:style w:type="character" w:styleId="Hyperlink">
    <w:name w:val="Hyperlink"/>
    <w:basedOn w:val="DefaultParagraphFont"/>
    <w:uiPriority w:val="99"/>
    <w:unhideWhenUsed/>
    <w:rsid w:val="00EC19FD"/>
    <w:rPr>
      <w:color w:val="0000FF"/>
      <w:u w:val="single"/>
    </w:rPr>
  </w:style>
  <w:style w:type="paragraph" w:customStyle="1" w:styleId="parareg">
    <w:name w:val="parareg"/>
    <w:basedOn w:val="Normal"/>
    <w:rsid w:val="00EC19FD"/>
    <w:pPr>
      <w:spacing w:before="100" w:beforeAutospacing="1" w:after="100" w:afterAutospacing="1" w:line="240" w:lineRule="auto"/>
    </w:pPr>
    <w:rPr>
      <w:rFonts w:ascii="Verdana" w:eastAsia="Times New Roman" w:hAnsi="Verdana" w:cs="Times New Roman"/>
      <w:sz w:val="24"/>
      <w:szCs w:val="24"/>
    </w:rPr>
  </w:style>
  <w:style w:type="paragraph" w:customStyle="1" w:styleId="quoteind">
    <w:name w:val="quoteind"/>
    <w:basedOn w:val="Normal"/>
    <w:rsid w:val="00EC19FD"/>
    <w:pPr>
      <w:spacing w:before="100" w:beforeAutospacing="1" w:after="100" w:afterAutospacing="1" w:line="240" w:lineRule="auto"/>
      <w:ind w:left="600" w:right="600"/>
    </w:pPr>
    <w:rPr>
      <w:rFonts w:ascii="Verdana" w:eastAsia="Times New Roman" w:hAnsi="Verdana" w:cs="Times New Roman"/>
    </w:rPr>
  </w:style>
  <w:style w:type="paragraph" w:styleId="NormalWeb">
    <w:name w:val="Normal (Web)"/>
    <w:basedOn w:val="Normal"/>
    <w:uiPriority w:val="99"/>
    <w:semiHidden/>
    <w:unhideWhenUsed/>
    <w:rsid w:val="009F424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43C8A"/>
    <w:rPr>
      <w:color w:val="808080"/>
      <w:shd w:val="clear" w:color="auto" w:fill="E6E6E6"/>
    </w:rPr>
  </w:style>
  <w:style w:type="paragraph" w:styleId="Header">
    <w:name w:val="header"/>
    <w:basedOn w:val="Normal"/>
    <w:link w:val="HeaderChar"/>
    <w:uiPriority w:val="99"/>
    <w:unhideWhenUsed/>
    <w:rsid w:val="0007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1E0"/>
  </w:style>
  <w:style w:type="paragraph" w:styleId="Footer">
    <w:name w:val="footer"/>
    <w:basedOn w:val="Normal"/>
    <w:link w:val="FooterChar"/>
    <w:uiPriority w:val="99"/>
    <w:unhideWhenUsed/>
    <w:rsid w:val="0007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1E0"/>
  </w:style>
  <w:style w:type="character" w:styleId="FollowedHyperlink">
    <w:name w:val="FollowedHyperlink"/>
    <w:basedOn w:val="DefaultParagraphFont"/>
    <w:uiPriority w:val="99"/>
    <w:semiHidden/>
    <w:unhideWhenUsed/>
    <w:rsid w:val="009C5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2864">
      <w:bodyDiv w:val="1"/>
      <w:marLeft w:val="0"/>
      <w:marRight w:val="0"/>
      <w:marTop w:val="0"/>
      <w:marBottom w:val="0"/>
      <w:divBdr>
        <w:top w:val="none" w:sz="0" w:space="0" w:color="auto"/>
        <w:left w:val="none" w:sz="0" w:space="0" w:color="auto"/>
        <w:bottom w:val="none" w:sz="0" w:space="0" w:color="auto"/>
        <w:right w:val="none" w:sz="0" w:space="0" w:color="auto"/>
      </w:divBdr>
      <w:divsChild>
        <w:div w:id="1093473001">
          <w:marLeft w:val="0"/>
          <w:marRight w:val="0"/>
          <w:marTop w:val="0"/>
          <w:marBottom w:val="375"/>
          <w:divBdr>
            <w:top w:val="single" w:sz="6" w:space="0" w:color="000000"/>
            <w:left w:val="single" w:sz="6" w:space="0" w:color="000000"/>
            <w:bottom w:val="single" w:sz="6" w:space="0" w:color="000000"/>
            <w:right w:val="single" w:sz="6" w:space="0" w:color="000000"/>
          </w:divBdr>
          <w:divsChild>
            <w:div w:id="286543158">
              <w:marLeft w:val="0"/>
              <w:marRight w:val="0"/>
              <w:marTop w:val="0"/>
              <w:marBottom w:val="0"/>
              <w:divBdr>
                <w:top w:val="none" w:sz="0" w:space="0" w:color="auto"/>
                <w:left w:val="none" w:sz="0" w:space="0" w:color="auto"/>
                <w:bottom w:val="none" w:sz="0" w:space="0" w:color="auto"/>
                <w:right w:val="none" w:sz="0" w:space="0" w:color="auto"/>
              </w:divBdr>
              <w:divsChild>
                <w:div w:id="1054475401">
                  <w:marLeft w:val="0"/>
                  <w:marRight w:val="0"/>
                  <w:marTop w:val="0"/>
                  <w:marBottom w:val="0"/>
                  <w:divBdr>
                    <w:top w:val="none" w:sz="0" w:space="0" w:color="auto"/>
                    <w:left w:val="none" w:sz="0" w:space="0" w:color="auto"/>
                    <w:bottom w:val="none" w:sz="0" w:space="0" w:color="auto"/>
                    <w:right w:val="none" w:sz="0" w:space="0" w:color="auto"/>
                  </w:divBdr>
                  <w:divsChild>
                    <w:div w:id="603343612">
                      <w:marLeft w:val="0"/>
                      <w:marRight w:val="0"/>
                      <w:marTop w:val="0"/>
                      <w:marBottom w:val="0"/>
                      <w:divBdr>
                        <w:top w:val="none" w:sz="0" w:space="0" w:color="auto"/>
                        <w:left w:val="none" w:sz="0" w:space="0" w:color="auto"/>
                        <w:bottom w:val="none" w:sz="0" w:space="0" w:color="auto"/>
                        <w:right w:val="none" w:sz="0" w:space="0" w:color="auto"/>
                      </w:divBdr>
                      <w:divsChild>
                        <w:div w:id="18855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3547">
      <w:bodyDiv w:val="1"/>
      <w:marLeft w:val="0"/>
      <w:marRight w:val="0"/>
      <w:marTop w:val="0"/>
      <w:marBottom w:val="0"/>
      <w:divBdr>
        <w:top w:val="none" w:sz="0" w:space="0" w:color="auto"/>
        <w:left w:val="none" w:sz="0" w:space="0" w:color="auto"/>
        <w:bottom w:val="none" w:sz="0" w:space="0" w:color="auto"/>
        <w:right w:val="none" w:sz="0" w:space="0" w:color="auto"/>
      </w:divBdr>
      <w:divsChild>
        <w:div w:id="249626658">
          <w:marLeft w:val="0"/>
          <w:marRight w:val="0"/>
          <w:marTop w:val="0"/>
          <w:marBottom w:val="375"/>
          <w:divBdr>
            <w:top w:val="single" w:sz="6" w:space="0" w:color="000000"/>
            <w:left w:val="single" w:sz="6" w:space="0" w:color="000000"/>
            <w:bottom w:val="single" w:sz="6" w:space="0" w:color="000000"/>
            <w:right w:val="single" w:sz="6" w:space="0" w:color="000000"/>
          </w:divBdr>
          <w:divsChild>
            <w:div w:id="2124037091">
              <w:marLeft w:val="0"/>
              <w:marRight w:val="0"/>
              <w:marTop w:val="0"/>
              <w:marBottom w:val="0"/>
              <w:divBdr>
                <w:top w:val="none" w:sz="0" w:space="0" w:color="auto"/>
                <w:left w:val="none" w:sz="0" w:space="0" w:color="auto"/>
                <w:bottom w:val="none" w:sz="0" w:space="0" w:color="auto"/>
                <w:right w:val="none" w:sz="0" w:space="0" w:color="auto"/>
              </w:divBdr>
              <w:divsChild>
                <w:div w:id="722869844">
                  <w:marLeft w:val="0"/>
                  <w:marRight w:val="0"/>
                  <w:marTop w:val="0"/>
                  <w:marBottom w:val="0"/>
                  <w:divBdr>
                    <w:top w:val="none" w:sz="0" w:space="0" w:color="auto"/>
                    <w:left w:val="none" w:sz="0" w:space="0" w:color="auto"/>
                    <w:bottom w:val="none" w:sz="0" w:space="0" w:color="auto"/>
                    <w:right w:val="none" w:sz="0" w:space="0" w:color="auto"/>
                  </w:divBdr>
                  <w:divsChild>
                    <w:div w:id="359818735">
                      <w:marLeft w:val="0"/>
                      <w:marRight w:val="0"/>
                      <w:marTop w:val="0"/>
                      <w:marBottom w:val="0"/>
                      <w:divBdr>
                        <w:top w:val="none" w:sz="0" w:space="0" w:color="auto"/>
                        <w:left w:val="none" w:sz="0" w:space="0" w:color="auto"/>
                        <w:bottom w:val="none" w:sz="0" w:space="0" w:color="auto"/>
                        <w:right w:val="none" w:sz="0" w:space="0" w:color="auto"/>
                      </w:divBdr>
                      <w:divsChild>
                        <w:div w:id="6702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9482">
      <w:bodyDiv w:val="1"/>
      <w:marLeft w:val="0"/>
      <w:marRight w:val="0"/>
      <w:marTop w:val="0"/>
      <w:marBottom w:val="0"/>
      <w:divBdr>
        <w:top w:val="none" w:sz="0" w:space="0" w:color="auto"/>
        <w:left w:val="none" w:sz="0" w:space="0" w:color="auto"/>
        <w:bottom w:val="none" w:sz="0" w:space="0" w:color="auto"/>
        <w:right w:val="none" w:sz="0" w:space="0" w:color="auto"/>
      </w:divBdr>
      <w:divsChild>
        <w:div w:id="524055785">
          <w:marLeft w:val="0"/>
          <w:marRight w:val="0"/>
          <w:marTop w:val="0"/>
          <w:marBottom w:val="375"/>
          <w:divBdr>
            <w:top w:val="single" w:sz="6" w:space="0" w:color="000000"/>
            <w:left w:val="single" w:sz="6" w:space="0" w:color="000000"/>
            <w:bottom w:val="single" w:sz="6" w:space="0" w:color="000000"/>
            <w:right w:val="single" w:sz="6" w:space="0" w:color="000000"/>
          </w:divBdr>
          <w:divsChild>
            <w:div w:id="558050878">
              <w:marLeft w:val="0"/>
              <w:marRight w:val="0"/>
              <w:marTop w:val="0"/>
              <w:marBottom w:val="0"/>
              <w:divBdr>
                <w:top w:val="none" w:sz="0" w:space="0" w:color="auto"/>
                <w:left w:val="none" w:sz="0" w:space="0" w:color="auto"/>
                <w:bottom w:val="none" w:sz="0" w:space="0" w:color="auto"/>
                <w:right w:val="none" w:sz="0" w:space="0" w:color="auto"/>
              </w:divBdr>
              <w:divsChild>
                <w:div w:id="474875305">
                  <w:marLeft w:val="0"/>
                  <w:marRight w:val="0"/>
                  <w:marTop w:val="0"/>
                  <w:marBottom w:val="0"/>
                  <w:divBdr>
                    <w:top w:val="none" w:sz="0" w:space="0" w:color="auto"/>
                    <w:left w:val="none" w:sz="0" w:space="0" w:color="auto"/>
                    <w:bottom w:val="none" w:sz="0" w:space="0" w:color="auto"/>
                    <w:right w:val="none" w:sz="0" w:space="0" w:color="auto"/>
                  </w:divBdr>
                  <w:divsChild>
                    <w:div w:id="1880238000">
                      <w:marLeft w:val="0"/>
                      <w:marRight w:val="0"/>
                      <w:marTop w:val="0"/>
                      <w:marBottom w:val="0"/>
                      <w:divBdr>
                        <w:top w:val="none" w:sz="0" w:space="0" w:color="auto"/>
                        <w:left w:val="none" w:sz="0" w:space="0" w:color="auto"/>
                        <w:bottom w:val="none" w:sz="0" w:space="0" w:color="auto"/>
                        <w:right w:val="none" w:sz="0" w:space="0" w:color="auto"/>
                      </w:divBdr>
                      <w:divsChild>
                        <w:div w:id="5387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90485">
      <w:bodyDiv w:val="1"/>
      <w:marLeft w:val="0"/>
      <w:marRight w:val="0"/>
      <w:marTop w:val="0"/>
      <w:marBottom w:val="0"/>
      <w:divBdr>
        <w:top w:val="none" w:sz="0" w:space="0" w:color="auto"/>
        <w:left w:val="none" w:sz="0" w:space="0" w:color="auto"/>
        <w:bottom w:val="none" w:sz="0" w:space="0" w:color="auto"/>
        <w:right w:val="none" w:sz="0" w:space="0" w:color="auto"/>
      </w:divBdr>
      <w:divsChild>
        <w:div w:id="1257976246">
          <w:marLeft w:val="0"/>
          <w:marRight w:val="0"/>
          <w:marTop w:val="0"/>
          <w:marBottom w:val="375"/>
          <w:divBdr>
            <w:top w:val="single" w:sz="6" w:space="0" w:color="000000"/>
            <w:left w:val="single" w:sz="6" w:space="0" w:color="000000"/>
            <w:bottom w:val="single" w:sz="6" w:space="0" w:color="000000"/>
            <w:right w:val="single" w:sz="6" w:space="0" w:color="000000"/>
          </w:divBdr>
          <w:divsChild>
            <w:div w:id="207224984">
              <w:marLeft w:val="0"/>
              <w:marRight w:val="0"/>
              <w:marTop w:val="0"/>
              <w:marBottom w:val="0"/>
              <w:divBdr>
                <w:top w:val="none" w:sz="0" w:space="0" w:color="auto"/>
                <w:left w:val="none" w:sz="0" w:space="0" w:color="auto"/>
                <w:bottom w:val="none" w:sz="0" w:space="0" w:color="auto"/>
                <w:right w:val="none" w:sz="0" w:space="0" w:color="auto"/>
              </w:divBdr>
              <w:divsChild>
                <w:div w:id="1402480600">
                  <w:marLeft w:val="0"/>
                  <w:marRight w:val="0"/>
                  <w:marTop w:val="0"/>
                  <w:marBottom w:val="0"/>
                  <w:divBdr>
                    <w:top w:val="none" w:sz="0" w:space="0" w:color="auto"/>
                    <w:left w:val="none" w:sz="0" w:space="0" w:color="auto"/>
                    <w:bottom w:val="none" w:sz="0" w:space="0" w:color="auto"/>
                    <w:right w:val="none" w:sz="0" w:space="0" w:color="auto"/>
                  </w:divBdr>
                  <w:divsChild>
                    <w:div w:id="1239897406">
                      <w:marLeft w:val="0"/>
                      <w:marRight w:val="0"/>
                      <w:marTop w:val="0"/>
                      <w:marBottom w:val="0"/>
                      <w:divBdr>
                        <w:top w:val="none" w:sz="0" w:space="0" w:color="auto"/>
                        <w:left w:val="none" w:sz="0" w:space="0" w:color="auto"/>
                        <w:bottom w:val="none" w:sz="0" w:space="0" w:color="auto"/>
                        <w:right w:val="none" w:sz="0" w:space="0" w:color="auto"/>
                      </w:divBdr>
                      <w:divsChild>
                        <w:div w:id="1391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5299">
      <w:bodyDiv w:val="1"/>
      <w:marLeft w:val="0"/>
      <w:marRight w:val="0"/>
      <w:marTop w:val="0"/>
      <w:marBottom w:val="0"/>
      <w:divBdr>
        <w:top w:val="none" w:sz="0" w:space="0" w:color="auto"/>
        <w:left w:val="none" w:sz="0" w:space="0" w:color="auto"/>
        <w:bottom w:val="none" w:sz="0" w:space="0" w:color="auto"/>
        <w:right w:val="none" w:sz="0" w:space="0" w:color="auto"/>
      </w:divBdr>
      <w:divsChild>
        <w:div w:id="1078751352">
          <w:marLeft w:val="0"/>
          <w:marRight w:val="0"/>
          <w:marTop w:val="0"/>
          <w:marBottom w:val="375"/>
          <w:divBdr>
            <w:top w:val="single" w:sz="6" w:space="0" w:color="000000"/>
            <w:left w:val="single" w:sz="6" w:space="0" w:color="000000"/>
            <w:bottom w:val="single" w:sz="6" w:space="0" w:color="000000"/>
            <w:right w:val="single" w:sz="6" w:space="0" w:color="000000"/>
          </w:divBdr>
          <w:divsChild>
            <w:div w:id="1380207286">
              <w:marLeft w:val="0"/>
              <w:marRight w:val="0"/>
              <w:marTop w:val="0"/>
              <w:marBottom w:val="0"/>
              <w:divBdr>
                <w:top w:val="none" w:sz="0" w:space="0" w:color="auto"/>
                <w:left w:val="none" w:sz="0" w:space="0" w:color="auto"/>
                <w:bottom w:val="none" w:sz="0" w:space="0" w:color="auto"/>
                <w:right w:val="none" w:sz="0" w:space="0" w:color="auto"/>
              </w:divBdr>
              <w:divsChild>
                <w:div w:id="473253935">
                  <w:marLeft w:val="0"/>
                  <w:marRight w:val="0"/>
                  <w:marTop w:val="0"/>
                  <w:marBottom w:val="0"/>
                  <w:divBdr>
                    <w:top w:val="none" w:sz="0" w:space="0" w:color="auto"/>
                    <w:left w:val="none" w:sz="0" w:space="0" w:color="auto"/>
                    <w:bottom w:val="none" w:sz="0" w:space="0" w:color="auto"/>
                    <w:right w:val="none" w:sz="0" w:space="0" w:color="auto"/>
                  </w:divBdr>
                  <w:divsChild>
                    <w:div w:id="326904092">
                      <w:marLeft w:val="0"/>
                      <w:marRight w:val="0"/>
                      <w:marTop w:val="0"/>
                      <w:marBottom w:val="0"/>
                      <w:divBdr>
                        <w:top w:val="none" w:sz="0" w:space="0" w:color="auto"/>
                        <w:left w:val="none" w:sz="0" w:space="0" w:color="auto"/>
                        <w:bottom w:val="none" w:sz="0" w:space="0" w:color="auto"/>
                        <w:right w:val="none" w:sz="0" w:space="0" w:color="auto"/>
                      </w:divBdr>
                      <w:divsChild>
                        <w:div w:id="17873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445193">
      <w:bodyDiv w:val="1"/>
      <w:marLeft w:val="0"/>
      <w:marRight w:val="0"/>
      <w:marTop w:val="0"/>
      <w:marBottom w:val="0"/>
      <w:divBdr>
        <w:top w:val="none" w:sz="0" w:space="0" w:color="auto"/>
        <w:left w:val="none" w:sz="0" w:space="0" w:color="auto"/>
        <w:bottom w:val="none" w:sz="0" w:space="0" w:color="auto"/>
        <w:right w:val="none" w:sz="0" w:space="0" w:color="auto"/>
      </w:divBdr>
      <w:divsChild>
        <w:div w:id="1794980273">
          <w:marLeft w:val="0"/>
          <w:marRight w:val="0"/>
          <w:marTop w:val="0"/>
          <w:marBottom w:val="375"/>
          <w:divBdr>
            <w:top w:val="single" w:sz="6" w:space="0" w:color="000000"/>
            <w:left w:val="single" w:sz="6" w:space="0" w:color="000000"/>
            <w:bottom w:val="single" w:sz="6" w:space="0" w:color="000000"/>
            <w:right w:val="single" w:sz="6" w:space="0" w:color="000000"/>
          </w:divBdr>
          <w:divsChild>
            <w:div w:id="1899126260">
              <w:marLeft w:val="0"/>
              <w:marRight w:val="0"/>
              <w:marTop w:val="0"/>
              <w:marBottom w:val="0"/>
              <w:divBdr>
                <w:top w:val="none" w:sz="0" w:space="0" w:color="auto"/>
                <w:left w:val="none" w:sz="0" w:space="0" w:color="auto"/>
                <w:bottom w:val="none" w:sz="0" w:space="0" w:color="auto"/>
                <w:right w:val="none" w:sz="0" w:space="0" w:color="auto"/>
              </w:divBdr>
              <w:divsChild>
                <w:div w:id="76170151">
                  <w:marLeft w:val="0"/>
                  <w:marRight w:val="0"/>
                  <w:marTop w:val="0"/>
                  <w:marBottom w:val="0"/>
                  <w:divBdr>
                    <w:top w:val="none" w:sz="0" w:space="0" w:color="auto"/>
                    <w:left w:val="none" w:sz="0" w:space="0" w:color="auto"/>
                    <w:bottom w:val="none" w:sz="0" w:space="0" w:color="auto"/>
                    <w:right w:val="none" w:sz="0" w:space="0" w:color="auto"/>
                  </w:divBdr>
                  <w:divsChild>
                    <w:div w:id="1109154622">
                      <w:marLeft w:val="0"/>
                      <w:marRight w:val="0"/>
                      <w:marTop w:val="0"/>
                      <w:marBottom w:val="0"/>
                      <w:divBdr>
                        <w:top w:val="none" w:sz="0" w:space="0" w:color="auto"/>
                        <w:left w:val="none" w:sz="0" w:space="0" w:color="auto"/>
                        <w:bottom w:val="none" w:sz="0" w:space="0" w:color="auto"/>
                        <w:right w:val="none" w:sz="0" w:space="0" w:color="auto"/>
                      </w:divBdr>
                      <w:divsChild>
                        <w:div w:id="12009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135092">
      <w:bodyDiv w:val="1"/>
      <w:marLeft w:val="0"/>
      <w:marRight w:val="0"/>
      <w:marTop w:val="0"/>
      <w:marBottom w:val="0"/>
      <w:divBdr>
        <w:top w:val="none" w:sz="0" w:space="0" w:color="auto"/>
        <w:left w:val="none" w:sz="0" w:space="0" w:color="auto"/>
        <w:bottom w:val="none" w:sz="0" w:space="0" w:color="auto"/>
        <w:right w:val="none" w:sz="0" w:space="0" w:color="auto"/>
      </w:divBdr>
      <w:divsChild>
        <w:div w:id="1565530103">
          <w:marLeft w:val="0"/>
          <w:marRight w:val="0"/>
          <w:marTop w:val="0"/>
          <w:marBottom w:val="375"/>
          <w:divBdr>
            <w:top w:val="single" w:sz="6" w:space="0" w:color="000000"/>
            <w:left w:val="single" w:sz="6" w:space="0" w:color="000000"/>
            <w:bottom w:val="single" w:sz="6" w:space="0" w:color="000000"/>
            <w:right w:val="single" w:sz="6" w:space="0" w:color="000000"/>
          </w:divBdr>
          <w:divsChild>
            <w:div w:id="1662932176">
              <w:marLeft w:val="0"/>
              <w:marRight w:val="0"/>
              <w:marTop w:val="0"/>
              <w:marBottom w:val="0"/>
              <w:divBdr>
                <w:top w:val="none" w:sz="0" w:space="0" w:color="auto"/>
                <w:left w:val="none" w:sz="0" w:space="0" w:color="auto"/>
                <w:bottom w:val="none" w:sz="0" w:space="0" w:color="auto"/>
                <w:right w:val="none" w:sz="0" w:space="0" w:color="auto"/>
              </w:divBdr>
              <w:divsChild>
                <w:div w:id="1509177747">
                  <w:marLeft w:val="0"/>
                  <w:marRight w:val="0"/>
                  <w:marTop w:val="0"/>
                  <w:marBottom w:val="0"/>
                  <w:divBdr>
                    <w:top w:val="none" w:sz="0" w:space="0" w:color="auto"/>
                    <w:left w:val="none" w:sz="0" w:space="0" w:color="auto"/>
                    <w:bottom w:val="none" w:sz="0" w:space="0" w:color="auto"/>
                    <w:right w:val="none" w:sz="0" w:space="0" w:color="auto"/>
                  </w:divBdr>
                  <w:divsChild>
                    <w:div w:id="1948730115">
                      <w:marLeft w:val="0"/>
                      <w:marRight w:val="0"/>
                      <w:marTop w:val="0"/>
                      <w:marBottom w:val="0"/>
                      <w:divBdr>
                        <w:top w:val="none" w:sz="0" w:space="0" w:color="auto"/>
                        <w:left w:val="none" w:sz="0" w:space="0" w:color="auto"/>
                        <w:bottom w:val="none" w:sz="0" w:space="0" w:color="auto"/>
                        <w:right w:val="none" w:sz="0" w:space="0" w:color="auto"/>
                      </w:divBdr>
                      <w:divsChild>
                        <w:div w:id="3206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09284">
      <w:bodyDiv w:val="1"/>
      <w:marLeft w:val="0"/>
      <w:marRight w:val="0"/>
      <w:marTop w:val="0"/>
      <w:marBottom w:val="0"/>
      <w:divBdr>
        <w:top w:val="none" w:sz="0" w:space="0" w:color="auto"/>
        <w:left w:val="none" w:sz="0" w:space="0" w:color="auto"/>
        <w:bottom w:val="none" w:sz="0" w:space="0" w:color="auto"/>
        <w:right w:val="none" w:sz="0" w:space="0" w:color="auto"/>
      </w:divBdr>
    </w:div>
    <w:div w:id="1756124475">
      <w:bodyDiv w:val="1"/>
      <w:marLeft w:val="0"/>
      <w:marRight w:val="0"/>
      <w:marTop w:val="0"/>
      <w:marBottom w:val="0"/>
      <w:divBdr>
        <w:top w:val="none" w:sz="0" w:space="0" w:color="auto"/>
        <w:left w:val="none" w:sz="0" w:space="0" w:color="auto"/>
        <w:bottom w:val="none" w:sz="0" w:space="0" w:color="auto"/>
        <w:right w:val="none" w:sz="0" w:space="0" w:color="auto"/>
      </w:divBdr>
      <w:divsChild>
        <w:div w:id="388892448">
          <w:marLeft w:val="0"/>
          <w:marRight w:val="0"/>
          <w:marTop w:val="0"/>
          <w:marBottom w:val="375"/>
          <w:divBdr>
            <w:top w:val="single" w:sz="6" w:space="0" w:color="000000"/>
            <w:left w:val="single" w:sz="6" w:space="0" w:color="000000"/>
            <w:bottom w:val="single" w:sz="6" w:space="0" w:color="000000"/>
            <w:right w:val="single" w:sz="6" w:space="0" w:color="000000"/>
          </w:divBdr>
          <w:divsChild>
            <w:div w:id="238028921">
              <w:marLeft w:val="0"/>
              <w:marRight w:val="0"/>
              <w:marTop w:val="0"/>
              <w:marBottom w:val="0"/>
              <w:divBdr>
                <w:top w:val="none" w:sz="0" w:space="0" w:color="auto"/>
                <w:left w:val="none" w:sz="0" w:space="0" w:color="auto"/>
                <w:bottom w:val="none" w:sz="0" w:space="0" w:color="auto"/>
                <w:right w:val="none" w:sz="0" w:space="0" w:color="auto"/>
              </w:divBdr>
              <w:divsChild>
                <w:div w:id="1287813729">
                  <w:marLeft w:val="0"/>
                  <w:marRight w:val="0"/>
                  <w:marTop w:val="0"/>
                  <w:marBottom w:val="0"/>
                  <w:divBdr>
                    <w:top w:val="none" w:sz="0" w:space="0" w:color="auto"/>
                    <w:left w:val="none" w:sz="0" w:space="0" w:color="auto"/>
                    <w:bottom w:val="none" w:sz="0" w:space="0" w:color="auto"/>
                    <w:right w:val="none" w:sz="0" w:space="0" w:color="auto"/>
                  </w:divBdr>
                  <w:divsChild>
                    <w:div w:id="838932617">
                      <w:marLeft w:val="0"/>
                      <w:marRight w:val="0"/>
                      <w:marTop w:val="0"/>
                      <w:marBottom w:val="0"/>
                      <w:divBdr>
                        <w:top w:val="none" w:sz="0" w:space="0" w:color="auto"/>
                        <w:left w:val="none" w:sz="0" w:space="0" w:color="auto"/>
                        <w:bottom w:val="none" w:sz="0" w:space="0" w:color="auto"/>
                        <w:right w:val="none" w:sz="0" w:space="0" w:color="auto"/>
                      </w:divBdr>
                      <w:divsChild>
                        <w:div w:id="4792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4844">
      <w:bodyDiv w:val="1"/>
      <w:marLeft w:val="0"/>
      <w:marRight w:val="0"/>
      <w:marTop w:val="0"/>
      <w:marBottom w:val="0"/>
      <w:divBdr>
        <w:top w:val="none" w:sz="0" w:space="0" w:color="auto"/>
        <w:left w:val="none" w:sz="0" w:space="0" w:color="auto"/>
        <w:bottom w:val="none" w:sz="0" w:space="0" w:color="auto"/>
        <w:right w:val="none" w:sz="0" w:space="0" w:color="auto"/>
      </w:divBdr>
      <w:divsChild>
        <w:div w:id="224143933">
          <w:marLeft w:val="0"/>
          <w:marRight w:val="0"/>
          <w:marTop w:val="0"/>
          <w:marBottom w:val="375"/>
          <w:divBdr>
            <w:top w:val="single" w:sz="6" w:space="0" w:color="000000"/>
            <w:left w:val="single" w:sz="6" w:space="0" w:color="000000"/>
            <w:bottom w:val="single" w:sz="6" w:space="0" w:color="000000"/>
            <w:right w:val="single" w:sz="6" w:space="0" w:color="000000"/>
          </w:divBdr>
          <w:divsChild>
            <w:div w:id="690107479">
              <w:marLeft w:val="0"/>
              <w:marRight w:val="0"/>
              <w:marTop w:val="0"/>
              <w:marBottom w:val="0"/>
              <w:divBdr>
                <w:top w:val="none" w:sz="0" w:space="0" w:color="auto"/>
                <w:left w:val="none" w:sz="0" w:space="0" w:color="auto"/>
                <w:bottom w:val="none" w:sz="0" w:space="0" w:color="auto"/>
                <w:right w:val="none" w:sz="0" w:space="0" w:color="auto"/>
              </w:divBdr>
              <w:divsChild>
                <w:div w:id="1038359541">
                  <w:marLeft w:val="0"/>
                  <w:marRight w:val="0"/>
                  <w:marTop w:val="0"/>
                  <w:marBottom w:val="0"/>
                  <w:divBdr>
                    <w:top w:val="none" w:sz="0" w:space="0" w:color="auto"/>
                    <w:left w:val="none" w:sz="0" w:space="0" w:color="auto"/>
                    <w:bottom w:val="none" w:sz="0" w:space="0" w:color="auto"/>
                    <w:right w:val="none" w:sz="0" w:space="0" w:color="auto"/>
                  </w:divBdr>
                  <w:divsChild>
                    <w:div w:id="1586299702">
                      <w:marLeft w:val="0"/>
                      <w:marRight w:val="0"/>
                      <w:marTop w:val="0"/>
                      <w:marBottom w:val="0"/>
                      <w:divBdr>
                        <w:top w:val="none" w:sz="0" w:space="0" w:color="auto"/>
                        <w:left w:val="none" w:sz="0" w:space="0" w:color="auto"/>
                        <w:bottom w:val="none" w:sz="0" w:space="0" w:color="auto"/>
                        <w:right w:val="none" w:sz="0" w:space="0" w:color="auto"/>
                      </w:divBdr>
                      <w:divsChild>
                        <w:div w:id="19590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879487">
      <w:bodyDiv w:val="1"/>
      <w:marLeft w:val="0"/>
      <w:marRight w:val="0"/>
      <w:marTop w:val="0"/>
      <w:marBottom w:val="0"/>
      <w:divBdr>
        <w:top w:val="none" w:sz="0" w:space="0" w:color="auto"/>
        <w:left w:val="none" w:sz="0" w:space="0" w:color="auto"/>
        <w:bottom w:val="none" w:sz="0" w:space="0" w:color="auto"/>
        <w:right w:val="none" w:sz="0" w:space="0" w:color="auto"/>
      </w:divBdr>
      <w:divsChild>
        <w:div w:id="1682927677">
          <w:marLeft w:val="0"/>
          <w:marRight w:val="0"/>
          <w:marTop w:val="0"/>
          <w:marBottom w:val="375"/>
          <w:divBdr>
            <w:top w:val="single" w:sz="6" w:space="0" w:color="000000"/>
            <w:left w:val="single" w:sz="6" w:space="0" w:color="000000"/>
            <w:bottom w:val="single" w:sz="6" w:space="0" w:color="000000"/>
            <w:right w:val="single" w:sz="6" w:space="0" w:color="000000"/>
          </w:divBdr>
          <w:divsChild>
            <w:div w:id="599490368">
              <w:marLeft w:val="0"/>
              <w:marRight w:val="0"/>
              <w:marTop w:val="0"/>
              <w:marBottom w:val="0"/>
              <w:divBdr>
                <w:top w:val="none" w:sz="0" w:space="0" w:color="auto"/>
                <w:left w:val="none" w:sz="0" w:space="0" w:color="auto"/>
                <w:bottom w:val="none" w:sz="0" w:space="0" w:color="auto"/>
                <w:right w:val="none" w:sz="0" w:space="0" w:color="auto"/>
              </w:divBdr>
              <w:divsChild>
                <w:div w:id="1817260370">
                  <w:marLeft w:val="0"/>
                  <w:marRight w:val="0"/>
                  <w:marTop w:val="0"/>
                  <w:marBottom w:val="0"/>
                  <w:divBdr>
                    <w:top w:val="none" w:sz="0" w:space="0" w:color="auto"/>
                    <w:left w:val="none" w:sz="0" w:space="0" w:color="auto"/>
                    <w:bottom w:val="none" w:sz="0" w:space="0" w:color="auto"/>
                    <w:right w:val="none" w:sz="0" w:space="0" w:color="auto"/>
                  </w:divBdr>
                  <w:divsChild>
                    <w:div w:id="1063405092">
                      <w:marLeft w:val="0"/>
                      <w:marRight w:val="0"/>
                      <w:marTop w:val="0"/>
                      <w:marBottom w:val="0"/>
                      <w:divBdr>
                        <w:top w:val="none" w:sz="0" w:space="0" w:color="auto"/>
                        <w:left w:val="none" w:sz="0" w:space="0" w:color="auto"/>
                        <w:bottom w:val="none" w:sz="0" w:space="0" w:color="auto"/>
                        <w:right w:val="none" w:sz="0" w:space="0" w:color="auto"/>
                      </w:divBdr>
                      <w:divsChild>
                        <w:div w:id="12005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isapedia.com/search?e82a984fa00eba24c=Y&amp;Source=BOOKWHOER&amp;ID=CHAPTER19&amp;TARGET=230" TargetMode="External"/><Relationship Id="rId18" Type="http://schemas.openxmlformats.org/officeDocument/2006/relationships/hyperlink" Target="https://www.erisapedia.com/selector?e82a984fa00eba24c=Y&amp;Source=IRSStatutes&amp;ID=408&amp;A=K&amp;t=md5&amp;SID=3a6a5c6c" TargetMode="External"/><Relationship Id="rId26" Type="http://schemas.openxmlformats.org/officeDocument/2006/relationships/hyperlink" Target="https://www.erisapedia.com/selector?e82a984fa00eba24c=Y&amp;Source=IRSStatutes&amp;ID=408&amp;A=K&amp;t=md5&amp;SID=3a6a5c6c" TargetMode="External"/><Relationship Id="rId39" Type="http://schemas.openxmlformats.org/officeDocument/2006/relationships/hyperlink" Target="https://www.erisapedia.com/selector?e82a984fa00eba24c=Y&amp;Source=IRSRegs&amp;ID=1.401(k)-3&amp;A=B&amp;t=md5&amp;SID=57b00085" TargetMode="External"/><Relationship Id="rId21" Type="http://schemas.openxmlformats.org/officeDocument/2006/relationships/hyperlink" Target="https://www.erisapedia.com/selector?e82a984fa00eba24c=Y&amp;Source=IRSStatutes&amp;ID=414&amp;A=M&amp;t=md5&amp;SID=c312e305" TargetMode="External"/><Relationship Id="rId34" Type="http://schemas.openxmlformats.org/officeDocument/2006/relationships/hyperlink" Target="https://www.erisapedia.com/selector?Source=BOOKWHOER&amp;ID=CHAPTER01TOC&amp;t=md5&amp;SID=f9c65451" TargetMode="External"/><Relationship Id="rId42" Type="http://schemas.openxmlformats.org/officeDocument/2006/relationships/hyperlink" Target="https://www.erisapedia.com/search?e82a984fa00eba24c=Y&amp;Source=BOOKWHOER&amp;ID=CHAPTER22" TargetMode="External"/><Relationship Id="rId47" Type="http://schemas.openxmlformats.org/officeDocument/2006/relationships/hyperlink" Target="https://www.erisapedia.com/selector?e82a984fa00eba24c=Y&amp;Source=IRSRegs&amp;ID=1.401(k)-1&amp;A=B&amp;t=md5&amp;SID=57b00085" TargetMode="External"/><Relationship Id="rId50" Type="http://schemas.openxmlformats.org/officeDocument/2006/relationships/hyperlink" Target="https://www.erisapedia.com/selector?e82a984fa00eba24c=Y&amp;Source=IRSRegs&amp;ID=1.401(k)-1&amp;A=B&amp;t=md5&amp;SID=57b00085" TargetMode="External"/><Relationship Id="rId55" Type="http://schemas.openxmlformats.org/officeDocument/2006/relationships/hyperlink" Target="https://www.erisapedia.com/selector?e82a984fa00eba24c=Y&amp;Source=IRSRegs&amp;ID=1.401(a)(4)-4&amp;A=E&amp;t=md5&amp;SID=57b00085" TargetMode="External"/><Relationship Id="rId63" Type="http://schemas.openxmlformats.org/officeDocument/2006/relationships/hyperlink" Target="https://www.erisapedia.com/search?e82a984fa00eba24c=Y&amp;Source=BOOKWHOER&amp;ID=CHAPTER25&amp;TARGET=040" TargetMode="External"/><Relationship Id="rId68" Type="http://schemas.openxmlformats.org/officeDocument/2006/relationships/hyperlink" Target="https://www.erisapedia.com/selector?e82a984fa00eba24c=Y&amp;Source=IRSRegs&amp;ID=1.401(k)-1&amp;A=E&amp;t=md5&amp;SID=57b00085" TargetMode="External"/><Relationship Id="rId76" Type="http://schemas.openxmlformats.org/officeDocument/2006/relationships/hyperlink" Target="https://www.ERISApedia.com/search?e82a984fa00eba24c=Y&amp;Source=BOOKWHOER&amp;ID=CHAPTER10&amp;TARGET=180" TargetMode="External"/><Relationship Id="rId84" Type="http://schemas.openxmlformats.org/officeDocument/2006/relationships/hyperlink" Target="https://www.erisapedia.com/selector?e82a984fa00eba24c=Y&amp;Source=IRSStatutes&amp;ID=401&amp;A=A26&amp;t=md5&amp;SID=7e6b32ea" TargetMode="External"/><Relationship Id="rId7" Type="http://schemas.openxmlformats.org/officeDocument/2006/relationships/endnotes" Target="endnotes.xml"/><Relationship Id="rId71" Type="http://schemas.openxmlformats.org/officeDocument/2006/relationships/hyperlink" Target="https://www.erisapedia.com/selector?e82a984fa00eba24c=Y&amp;Source=IRSStatutes&amp;ID=410&amp;A=B&amp;t=md5&amp;SID=0dde65e3" TargetMode="External"/><Relationship Id="rId2" Type="http://schemas.openxmlformats.org/officeDocument/2006/relationships/numbering" Target="numbering.xml"/><Relationship Id="rId16" Type="http://schemas.openxmlformats.org/officeDocument/2006/relationships/hyperlink" Target="https://www.erisapedia.com/search?e82a984fa00eba24c=Y&amp;Source=BOOKWHOER&amp;ID=CHAPTER10&amp;TARGET=220" TargetMode="External"/><Relationship Id="rId29" Type="http://schemas.openxmlformats.org/officeDocument/2006/relationships/hyperlink" Target="https://www.erisapedia.com/selector?e82a984fa00eba24c=Y&amp;Source=IRSStatutes&amp;ID=414&amp;A=B&amp;t=md5&amp;SID=7e6b32ea" TargetMode="External"/><Relationship Id="rId11" Type="http://schemas.openxmlformats.org/officeDocument/2006/relationships/hyperlink" Target="https://www.erisapedia.com/search?e82a984fa00eba24c=Y&amp;Source=BOOKWHOER&amp;ID=CHAPTER10&amp;TARGET=190" TargetMode="External"/><Relationship Id="rId24" Type="http://schemas.openxmlformats.org/officeDocument/2006/relationships/hyperlink" Target="https://www.erisapedia.com/selector?e82a984fa00eba24c=Y&amp;Source=IRSStatutes&amp;ID=408&amp;A=K&amp;t=md5&amp;SID=3a6a5c6c" TargetMode="External"/><Relationship Id="rId32" Type="http://schemas.openxmlformats.org/officeDocument/2006/relationships/hyperlink" Target="https://www.erisapedia.com/selector?e82a984fa00eba24c=Y&amp;Source=IRSStatutes&amp;ID=1561&amp;t=md5&amp;SID=8ef899b6" TargetMode="External"/><Relationship Id="rId37" Type="http://schemas.openxmlformats.org/officeDocument/2006/relationships/hyperlink" Target="https://www.erisapedia.com/selector?e82a984fa00eba24c=Y&amp;Source=IRSRegs&amp;ID=1.401(k)-3&amp;A=C&amp;t=md5&amp;SID=57b00085" TargetMode="External"/><Relationship Id="rId40" Type="http://schemas.openxmlformats.org/officeDocument/2006/relationships/hyperlink" Target="https://www.erisapedia.com/selector?e82a984fa00eba24c=Y&amp;Source=IRSStatutes&amp;ID=401&amp;A=A4&amp;t=md5&amp;SID=7e6b32ea" TargetMode="External"/><Relationship Id="rId45" Type="http://schemas.openxmlformats.org/officeDocument/2006/relationships/hyperlink" Target="https://www.erisapedia.com/selector?e82a984fa00eba24c=Y&amp;Source=IRSRegs&amp;ID=1.401(k)-1&amp;A=B&amp;t=md5&amp;SID=57b00085" TargetMode="External"/><Relationship Id="rId53" Type="http://schemas.openxmlformats.org/officeDocument/2006/relationships/hyperlink" Target="https://www.erisapedia.com/selector?e82a984fa00eba24c=Y&amp;Source=IRSStatutes&amp;ID=410&amp;A=B&amp;t=md5&amp;SID=7e6b32ea" TargetMode="External"/><Relationship Id="rId58" Type="http://schemas.openxmlformats.org/officeDocument/2006/relationships/hyperlink" Target="https://www.erisapedia.com/search?e82a984fa00eba24c=Y&amp;Source=BOOKWHOER&amp;ID=CHAPTER20&amp;TARGET=280" TargetMode="External"/><Relationship Id="rId66" Type="http://schemas.openxmlformats.org/officeDocument/2006/relationships/hyperlink" Target="https://www.erisapedia.com/search?e82a984fa00eba24c=Y&amp;Source=BOOKWHOER&amp;ID=CHAPTER23&amp;TARGET=030" TargetMode="External"/><Relationship Id="rId74" Type="http://schemas.openxmlformats.org/officeDocument/2006/relationships/hyperlink" Target="https://www.erisapedia.com/search?e82a984fa00eba24c=Y&amp;Source=BOOKWHOER&amp;ID=CHAPTER11&amp;TARGET=070" TargetMode="External"/><Relationship Id="rId79" Type="http://schemas.openxmlformats.org/officeDocument/2006/relationships/hyperlink" Target="https://www.erisapedia.com/search?e82a984fa00eba24c=Y&amp;Source=BOOKWHOER&amp;ID=CHAPTER11&amp;TARGET=010"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erisapedia.com/search?e82a984fa00eba24c=Y&amp;Source=BOOKWHOER&amp;ID=CHAPTER22&amp;TARGET=150" TargetMode="External"/><Relationship Id="rId82" Type="http://schemas.openxmlformats.org/officeDocument/2006/relationships/hyperlink" Target="https://www.erisapedia.com/selector?e82a984fa00eba24c=Y&amp;Source=IRSStatutes&amp;ID=410&amp;A=B&amp;t=md5&amp;SID=0dde65e3" TargetMode="External"/><Relationship Id="rId19" Type="http://schemas.openxmlformats.org/officeDocument/2006/relationships/hyperlink" Target="https://www.erisapedia.com/selector?e82a984fa00eba24c=Y&amp;Source=IRSStatutes&amp;ID=414&amp;A=B&amp;t=md5&amp;SID=c312e305" TargetMode="External"/><Relationship Id="rId4" Type="http://schemas.openxmlformats.org/officeDocument/2006/relationships/settings" Target="settings.xml"/><Relationship Id="rId9" Type="http://schemas.openxmlformats.org/officeDocument/2006/relationships/hyperlink" Target="https://www.erisapedia.com/selector?e82a984fa00eba24c=Y&amp;Source=DOLRegs&amp;ID=2530.210&amp;A=D&amp;t=md5&amp;SID=638268f1" TargetMode="External"/><Relationship Id="rId14" Type="http://schemas.openxmlformats.org/officeDocument/2006/relationships/hyperlink" Target="https://www.erisapedia.com/search?e82a984fa00eba24c=Y&amp;Source=BOOKWHOER&amp;ID=CHAPTER10&amp;TARGET=210" TargetMode="External"/><Relationship Id="rId22" Type="http://schemas.openxmlformats.org/officeDocument/2006/relationships/hyperlink" Target="https://www.erisapedia.com/selector?Source=IRSStatutes&amp;ID=408&amp;A=K&amp;t=md5&amp;SID=3a6a5c6c" TargetMode="External"/><Relationship Id="rId27" Type="http://schemas.openxmlformats.org/officeDocument/2006/relationships/hyperlink" Target="https://www.erisapedia.com/selector?e82a984fa00eba24c=Y&amp;Source=IRSStatutes&amp;ID=408&amp;A=K&amp;t=md5&amp;SID=3a6a5c6c" TargetMode="External"/><Relationship Id="rId30" Type="http://schemas.openxmlformats.org/officeDocument/2006/relationships/hyperlink" Target="https://www.erisapedia.com/search?e82a984fa00eba24c=Y&amp;Source=BOOKWHOER&amp;ID=CHAPTER08&amp;TARGET=370" TargetMode="External"/><Relationship Id="rId35" Type="http://schemas.openxmlformats.org/officeDocument/2006/relationships/hyperlink" Target="https://www.erisapedia.com/selector?e82a984fa00eba24c=Y&amp;Source=IRSRegs&amp;ID=1.410(b)-9&amp;t=md5&amp;SID=5f9d6054" TargetMode="External"/><Relationship Id="rId43" Type="http://schemas.openxmlformats.org/officeDocument/2006/relationships/hyperlink" Target="https://www.erisapedia.com/search?e82a984fa00eba24c=Y&amp;Source=BOOKWHOER&amp;ID=CHAPTER22&amp;TARGET=140" TargetMode="External"/><Relationship Id="rId48" Type="http://schemas.openxmlformats.org/officeDocument/2006/relationships/hyperlink" Target="https://www.erisapedia.com/selector?e82a984fa00eba24c=Y&amp;Source=IRSRegs&amp;ID=1.401(k)-1&amp;A=B&amp;t=md5&amp;SID=57b00085" TargetMode="External"/><Relationship Id="rId56" Type="http://schemas.openxmlformats.org/officeDocument/2006/relationships/hyperlink" Target="https://www.erisapedia.com/selector?e82a984fa00eba24c=Y&amp;Source=IRSRegs&amp;ID=1.401(a)(4)-11&amp;A=C&amp;t=md5&amp;SID=57b00085" TargetMode="External"/><Relationship Id="rId64" Type="http://schemas.openxmlformats.org/officeDocument/2006/relationships/hyperlink" Target="https://www.erisapedia.com/search?e82a984fa00eba24c=Y&amp;Source=BOOKWHOER&amp;ID=CHAPTER23&amp;TARGET=180" TargetMode="External"/><Relationship Id="rId69" Type="http://schemas.openxmlformats.org/officeDocument/2006/relationships/hyperlink" Target="https://www.erisapedia.com/search?e82a984fa00eba24c=Y&amp;Source=BOOKWHOER&amp;ID=CHAPTER11&amp;TARGET=050" TargetMode="External"/><Relationship Id="rId77" Type="http://schemas.openxmlformats.org/officeDocument/2006/relationships/hyperlink" Target="https://www.erisapedia.com/search?e82a984fa00eba24c=Y&amp;Source=BOOKWHOER&amp;ID=CHAPTER22&amp;TARGET=15" TargetMode="External"/><Relationship Id="rId8" Type="http://schemas.openxmlformats.org/officeDocument/2006/relationships/hyperlink" Target="https://www.ERISApedia.com/search?e82a984fa00eba24c=Y&amp;Source=BOOKWHOER&amp;ID=CHAPTER19&amp;TARGET=270" TargetMode="External"/><Relationship Id="rId51" Type="http://schemas.openxmlformats.org/officeDocument/2006/relationships/hyperlink" Target="https://www.erisapedia.com/selector?e82a984fa00eba24c=Y&amp;Source=IRSRegs&amp;ID=1.401(k)-1&amp;A=B&amp;t=md5&amp;SID=57b00085" TargetMode="External"/><Relationship Id="rId72" Type="http://schemas.openxmlformats.org/officeDocument/2006/relationships/hyperlink" Target="https://www.ERISApedia.com/search?e82a984fa00eba24c=Y&amp;Source=BOOKWHOER&amp;ID=CHAPTER20&amp;TARGET=220" TargetMode="External"/><Relationship Id="rId80" Type="http://schemas.openxmlformats.org/officeDocument/2006/relationships/hyperlink" Target="https://www.erisapedia.com/selector?e82a984fa00eba24c=Y&amp;Source=IRSStatutes&amp;ID=410&amp;A=B&amp;t=md5&amp;SID=0dde65e3" TargetMode="External"/><Relationship Id="rId85" Type="http://schemas.openxmlformats.org/officeDocument/2006/relationships/hyperlink" Target="https://www.erisapedia.com/selector?e82a984fa00eba24c=Y&amp;Source=IRSStatutes&amp;ID=410&amp;A=B&amp;t=md5&amp;SID=0dde65e3" TargetMode="External"/><Relationship Id="rId3" Type="http://schemas.openxmlformats.org/officeDocument/2006/relationships/styles" Target="styles.xml"/><Relationship Id="rId12" Type="http://schemas.openxmlformats.org/officeDocument/2006/relationships/hyperlink" Target="https://www.erisapedia.com/search?e82a984fa00eba24c=Y&amp;Source=BOOKWHOER&amp;ID=CHAPTER11&amp;TARGET=070" TargetMode="External"/><Relationship Id="rId17" Type="http://schemas.openxmlformats.org/officeDocument/2006/relationships/hyperlink" Target="https://www.erisapedia.com/search?e82a984fa00eba24c=Y&amp;Source=BOOKWHOER&amp;ID=CHAPTER25&amp;TARGET=010" TargetMode="External"/><Relationship Id="rId25" Type="http://schemas.openxmlformats.org/officeDocument/2006/relationships/hyperlink" Target="https://www.erisapedia.com/selector?e82a984fa00eba24c=Y&amp;Source=IRSStatutes&amp;ID=408&amp;A=K&amp;t=md5&amp;SID=3a6a5c6c" TargetMode="External"/><Relationship Id="rId33" Type="http://schemas.openxmlformats.org/officeDocument/2006/relationships/hyperlink" Target="https://www.erisapedia.com/search?e82a984fa00eba24c=Y&amp;Source=BOOKWHOER&amp;ID=CHAPTER23&amp;TARGET=040" TargetMode="External"/><Relationship Id="rId38" Type="http://schemas.openxmlformats.org/officeDocument/2006/relationships/hyperlink" Target="https://www.erisapedia.com/selector?e82a984fa00eba24c=Y&amp;Source=IRSRegs&amp;ID=1.401(m)-3&amp;A=D&amp;t=md5&amp;SID=57b00085" TargetMode="External"/><Relationship Id="rId46" Type="http://schemas.openxmlformats.org/officeDocument/2006/relationships/hyperlink" Target="https://www.erisapedia.com/selector?e82a984fa00eba24c=Y&amp;Source=IRSRegs&amp;ID=1.401(k)-1&amp;A=B&amp;t=md5&amp;SID=57b00085" TargetMode="External"/><Relationship Id="rId59" Type="http://schemas.openxmlformats.org/officeDocument/2006/relationships/hyperlink" Target="https://www.erisapedia.com/search?e82a984fa00eba24c=Y&amp;Source=BOOKWHOER&amp;ID=CHAPTER20&amp;TARGET=270" TargetMode="External"/><Relationship Id="rId67" Type="http://schemas.openxmlformats.org/officeDocument/2006/relationships/hyperlink" Target="https://www.erisapedia.com/search?e82a984fa00eba24c=Y&amp;Source=BOOKWHOER&amp;ID=CHAPTER23&amp;TARGET=220" TargetMode="External"/><Relationship Id="rId20" Type="http://schemas.openxmlformats.org/officeDocument/2006/relationships/hyperlink" Target="https://www.erisapedia.com/selector?e82a984fa00eba24c=Y&amp;Source=IRSStatutes&amp;ID=414&amp;A=C&amp;t=md5&amp;SID=c312e305" TargetMode="External"/><Relationship Id="rId41" Type="http://schemas.openxmlformats.org/officeDocument/2006/relationships/hyperlink" Target="https://www.erisapedia.com/selector?e82a984fa00eba24c=Y&amp;Source=IRSRegs&amp;ID=1.401(k)-1&amp;A=B&amp;t=md5&amp;SID=57b00085" TargetMode="External"/><Relationship Id="rId54" Type="http://schemas.openxmlformats.org/officeDocument/2006/relationships/hyperlink" Target="https://www.erisapedia.com/selector?e82a984fa00eba24c=Y&amp;Source=IRSRegs&amp;ID=1.401(a)(4)-4&amp;A=E&amp;t=md5&amp;SID=57b00085" TargetMode="External"/><Relationship Id="rId62" Type="http://schemas.openxmlformats.org/officeDocument/2006/relationships/hyperlink" Target="https://www.erisapedia.com/search?e82a984fa00eba24c=Y&amp;Source=BOOKWHOER&amp;ID=CHAPTER22&amp;TARGET=070" TargetMode="External"/><Relationship Id="rId70" Type="http://schemas.openxmlformats.org/officeDocument/2006/relationships/hyperlink" Target="https://www.erisapedia.com/selector?e82a984fa00eba24c=Y&amp;Source=IRSStatutes&amp;ID=401&amp;A=A4&amp;t=md5&amp;SID=7e6b32ea" TargetMode="External"/><Relationship Id="rId75" Type="http://schemas.openxmlformats.org/officeDocument/2006/relationships/hyperlink" Target="https://www.erisapedia.com/selector?e82a984fa00eba24c=Y&amp;Source=IRSStatutes&amp;ID=410&amp;A=B&amp;t=md5&amp;SID=0dde65e3" TargetMode="External"/><Relationship Id="rId83" Type="http://schemas.openxmlformats.org/officeDocument/2006/relationships/hyperlink" Target="https://www.erisapedia.com/selector?Source=IRSStatutes&amp;ID=410&amp;A=B&amp;t=md5&amp;SID=0dde65e3"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isapedia.com/selector?e82a984fa00eba24c=Y&amp;Source=IRSStatutes&amp;ID=162&amp;t=md5&amp;SID=7e6b32ea" TargetMode="External"/><Relationship Id="rId23" Type="http://schemas.openxmlformats.org/officeDocument/2006/relationships/hyperlink" Target="https://www.erisapedia.com/selector?e82a984fa00eba24c=Y&amp;Source=IRSStatutes&amp;ID=408&amp;A=K&amp;t=md5&amp;SID=3a6a5c6c" TargetMode="External"/><Relationship Id="rId28" Type="http://schemas.openxmlformats.org/officeDocument/2006/relationships/hyperlink" Target="https://www.erisapedia.com/selector?e82a984fa00eba24c=Y&amp;Source=IRSStatutes&amp;ID=1563&amp;A=B&amp;t=md5&amp;SID=7e6b32ea" TargetMode="External"/><Relationship Id="rId36" Type="http://schemas.openxmlformats.org/officeDocument/2006/relationships/hyperlink" Target="https://www.erisapedia.com/search?e82a984fa00eba24c=Y&amp;Source=BOOKWHOER&amp;ID=CHAPTER23&amp;TARGET=050" TargetMode="External"/><Relationship Id="rId49" Type="http://schemas.openxmlformats.org/officeDocument/2006/relationships/hyperlink" Target="https://www.erisapedia.com/selector?e82a984fa00eba24c=Y&amp;Source=IRSStatutes&amp;ID=401&amp;A=K3&amp;t=md5&amp;SID=7e6b32ea" TargetMode="External"/><Relationship Id="rId57" Type="http://schemas.openxmlformats.org/officeDocument/2006/relationships/hyperlink" Target="https://www.erisapedia.com/selector?e82a984fa00eba24c=Y&amp;Source=IRSStatutes&amp;ID=414&amp;A=S&amp;t=md5&amp;SID=7e6b32ea" TargetMode="External"/><Relationship Id="rId10" Type="http://schemas.openxmlformats.org/officeDocument/2006/relationships/hyperlink" Target="https://www.erisapedia.com/selector?e82a984fa00eba24c=Y&amp;Source=IRSStatutes&amp;ID=414&amp;A=M&amp;t=md5&amp;SID=c312e305" TargetMode="External"/><Relationship Id="rId31" Type="http://schemas.openxmlformats.org/officeDocument/2006/relationships/hyperlink" Target="https://www.erisapedia.com/selector?e82a984fa00eba24c=Y&amp;Source=IRSStatutes&amp;ID=882&amp;A=A&amp;t=md5&amp;SID=1bde827d" TargetMode="External"/><Relationship Id="rId44" Type="http://schemas.openxmlformats.org/officeDocument/2006/relationships/hyperlink" Target="https://www.ERISApedia.com/search?e82a984fa00eba24c=Y&amp;Source=BOOKWHOER&amp;ID=CHAPTER22&amp;TARGET=060" TargetMode="External"/><Relationship Id="rId52" Type="http://schemas.openxmlformats.org/officeDocument/2006/relationships/hyperlink" Target="https://www.erisapedia.com/selector?e82a984fa00eba24c=Y&amp;Source=IRSRegs&amp;ID=1.401(m)-1&amp;A=B&amp;t=md5&amp;SID=7cb223cd" TargetMode="External"/><Relationship Id="rId60" Type="http://schemas.openxmlformats.org/officeDocument/2006/relationships/hyperlink" Target="https://www.erisapedia.com/search?e82a984fa00eba24c=Y&amp;Source=BOOKWHOER&amp;ID=CHAPTER22&amp;TARGET=100" TargetMode="External"/><Relationship Id="rId65" Type="http://schemas.openxmlformats.org/officeDocument/2006/relationships/hyperlink" Target="https://www.erisapedia.com/selector?e82a984fa00eba24c=Y&amp;Source=IRSRegs&amp;ID=1.410(b)-2&amp;A=B&amp;t=md5&amp;SID=57b00085" TargetMode="External"/><Relationship Id="rId73" Type="http://schemas.openxmlformats.org/officeDocument/2006/relationships/hyperlink" Target="https://www.erisapedia.com/selector?e82a984fa00eba24c=Y&amp;Source=IRSOther&amp;ID=RevRul2004-11.pdf&amp;t=md5&amp;SID=e0863b83" TargetMode="External"/><Relationship Id="rId78" Type="http://schemas.openxmlformats.org/officeDocument/2006/relationships/hyperlink" Target="https://www.erisapedia.com/selector?e82a984fa00eba24c=Y&amp;Source=IRSStatutes&amp;ID=414&amp;A=C&amp;t=md5&amp;SID=7e6b32ea" TargetMode="External"/><Relationship Id="rId81" Type="http://schemas.openxmlformats.org/officeDocument/2006/relationships/hyperlink" Target="https://www.erisapedia.com/selector?e82a984fa00eba24c=Y&amp;Source=IRSRegs&amp;ID=1.410(b)-2&amp;A=F&amp;t=md5&amp;SID=ccfd72ba"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EC6D-D117-4140-AFC8-6FCF715B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 McCutcheon</cp:lastModifiedBy>
  <cp:revision>2</cp:revision>
  <dcterms:created xsi:type="dcterms:W3CDTF">2017-11-21T20:43:00Z</dcterms:created>
  <dcterms:modified xsi:type="dcterms:W3CDTF">2017-11-21T20:43:00Z</dcterms:modified>
</cp:coreProperties>
</file>